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FE8" w:rsidRDefault="00664FE8" w:rsidP="00B20C1D">
      <w:pPr>
        <w:pStyle w:val="NameofEventDate"/>
        <w:pBdr>
          <w:bottom w:val="single" w:sz="4" w:space="20" w:color="auto"/>
        </w:pBdr>
        <w:spacing w:before="240"/>
        <w:rPr>
          <w:rFonts w:ascii="Calibri" w:hAnsi="Calibri"/>
          <w:b/>
          <w:color w:val="0E4194"/>
          <w:sz w:val="36"/>
          <w:szCs w:val="36"/>
          <w:lang w:val="en-US"/>
        </w:rPr>
      </w:pPr>
    </w:p>
    <w:p w:rsidR="002B09B4" w:rsidRPr="00B20C1D" w:rsidRDefault="00953C87" w:rsidP="00B20C1D">
      <w:pPr>
        <w:pStyle w:val="NameofEventDate"/>
        <w:pBdr>
          <w:bottom w:val="single" w:sz="4" w:space="20" w:color="auto"/>
        </w:pBdr>
        <w:spacing w:before="240"/>
        <w:rPr>
          <w:rFonts w:ascii="Calibri" w:hAnsi="Calibri"/>
          <w:b/>
          <w:color w:val="0E4194"/>
          <w:sz w:val="36"/>
          <w:szCs w:val="36"/>
          <w:lang w:val="en-US"/>
        </w:rPr>
      </w:pPr>
      <w:r w:rsidRPr="00953C87">
        <w:rPr>
          <w:rFonts w:ascii="Calibri" w:hAnsi="Calibri"/>
          <w:b/>
          <w:color w:val="0E4194"/>
          <w:sz w:val="36"/>
          <w:szCs w:val="36"/>
          <w:lang w:val="en-US"/>
        </w:rPr>
        <w:t>SG Meeting Ljubljana, 05-2014</w:t>
      </w:r>
    </w:p>
    <w:p w:rsidR="00C70328" w:rsidRPr="001B18C6" w:rsidRDefault="00C70328" w:rsidP="00C70328">
      <w:pPr>
        <w:rPr>
          <w:rFonts w:ascii="Calibri" w:hAnsi="Calibri"/>
          <w:b/>
          <w:sz w:val="30"/>
          <w:szCs w:val="30"/>
          <w:lang w:val="en-US"/>
        </w:rPr>
      </w:pPr>
    </w:p>
    <w:p w:rsidR="00953C87" w:rsidRPr="00953C87" w:rsidRDefault="00953C87" w:rsidP="00953C87">
      <w:pPr>
        <w:pStyle w:val="Headline2"/>
        <w:ind w:left="0" w:firstLine="0"/>
        <w:rPr>
          <w:rFonts w:ascii="Calibri" w:hAnsi="Calibri"/>
          <w:b/>
          <w:color w:val="0E4194"/>
          <w:lang w:val="en-GB"/>
        </w:rPr>
      </w:pPr>
      <w:r w:rsidRPr="00953C87">
        <w:rPr>
          <w:rFonts w:ascii="Calibri" w:hAnsi="Calibri"/>
          <w:b/>
          <w:color w:val="0E4194"/>
          <w:lang w:val="en-GB"/>
        </w:rPr>
        <w:t>Tasks and Perspectives of PAC 10</w:t>
      </w:r>
    </w:p>
    <w:p w:rsidR="00953C87" w:rsidRPr="00953C87" w:rsidRDefault="00953C87" w:rsidP="00953C87">
      <w:pPr>
        <w:pStyle w:val="Headline2"/>
        <w:ind w:left="0" w:firstLine="0"/>
        <w:rPr>
          <w:rFonts w:ascii="Calibri" w:hAnsi="Calibri"/>
          <w:b/>
          <w:color w:val="0E4194"/>
          <w:lang w:val="en-GB"/>
        </w:rPr>
      </w:pPr>
      <w:r w:rsidRPr="00953C87">
        <w:rPr>
          <w:rFonts w:ascii="Calibri" w:hAnsi="Calibri"/>
          <w:b/>
          <w:color w:val="0E4194"/>
          <w:lang w:val="en-GB"/>
        </w:rPr>
        <w:t xml:space="preserve">Draft </w:t>
      </w:r>
    </w:p>
    <w:p w:rsidR="00953C87" w:rsidRPr="00953C87" w:rsidRDefault="00953C87" w:rsidP="00953C87">
      <w:pPr>
        <w:autoSpaceDE w:val="0"/>
        <w:autoSpaceDN w:val="0"/>
        <w:adjustRightInd w:val="0"/>
        <w:spacing w:after="0"/>
        <w:rPr>
          <w:rFonts w:ascii="Times New Roman" w:eastAsia="Calibri" w:hAnsi="Times New Roman"/>
          <w:sz w:val="22"/>
          <w:szCs w:val="22"/>
          <w:lang w:val="en-GB"/>
        </w:rPr>
      </w:pPr>
    </w:p>
    <w:p w:rsidR="00953C87" w:rsidRPr="00953C87" w:rsidRDefault="00953C87" w:rsidP="00953C87">
      <w:pPr>
        <w:autoSpaceDE w:val="0"/>
        <w:autoSpaceDN w:val="0"/>
        <w:adjustRightInd w:val="0"/>
        <w:spacing w:after="0"/>
        <w:jc w:val="both"/>
        <w:rPr>
          <w:rFonts w:ascii="Times New Roman" w:eastAsia="Calibri" w:hAnsi="Times New Roman"/>
          <w:i/>
          <w:sz w:val="22"/>
          <w:szCs w:val="22"/>
          <w:lang w:val="en-GB"/>
        </w:rPr>
      </w:pPr>
      <w:r w:rsidRPr="00953C87">
        <w:rPr>
          <w:rFonts w:ascii="Times New Roman" w:eastAsia="Calibri" w:hAnsi="Times New Roman"/>
          <w:i/>
          <w:sz w:val="22"/>
          <w:szCs w:val="22"/>
          <w:lang w:val="en-GB"/>
        </w:rPr>
        <w:t>This paper is about the Task and Perspective of PAC 10 related to our basic document, the Action Plan. A look into the short history of EUSDR Governance Structure shows, that the discussion about this issue is ongoing since the first PAC/NCP meeting in Gödöllö (2011) and also shows the emergence of a more realistic and empirically based concept formulated in the recent Non-paper of the EC (2014).</w:t>
      </w:r>
    </w:p>
    <w:p w:rsidR="00953C87" w:rsidRPr="00953C87" w:rsidRDefault="00953C87" w:rsidP="00953C87">
      <w:pPr>
        <w:autoSpaceDE w:val="0"/>
        <w:autoSpaceDN w:val="0"/>
        <w:adjustRightInd w:val="0"/>
        <w:spacing w:after="0"/>
        <w:rPr>
          <w:rFonts w:ascii="Times New Roman" w:eastAsia="Calibri" w:hAnsi="Times New Roman"/>
          <w:i/>
          <w:sz w:val="22"/>
          <w:szCs w:val="22"/>
          <w:lang w:val="en-GB"/>
        </w:rPr>
      </w:pPr>
    </w:p>
    <w:p w:rsidR="00953C87" w:rsidRPr="00953C87" w:rsidRDefault="00953C87" w:rsidP="00953C87">
      <w:pPr>
        <w:autoSpaceDE w:val="0"/>
        <w:autoSpaceDN w:val="0"/>
        <w:adjustRightInd w:val="0"/>
        <w:spacing w:after="0"/>
        <w:jc w:val="both"/>
        <w:rPr>
          <w:rFonts w:ascii="Times New Roman" w:eastAsia="Calibri" w:hAnsi="Times New Roman"/>
          <w:i/>
          <w:sz w:val="22"/>
          <w:szCs w:val="22"/>
          <w:lang w:val="en-GB"/>
        </w:rPr>
      </w:pPr>
      <w:r w:rsidRPr="00953C87">
        <w:rPr>
          <w:rFonts w:ascii="Times New Roman" w:eastAsia="Calibri" w:hAnsi="Times New Roman"/>
          <w:i/>
          <w:sz w:val="22"/>
          <w:szCs w:val="22"/>
          <w:lang w:val="en-GB"/>
        </w:rPr>
        <w:t>Looking for lessons learned and taking into account the overall insecurity of roles and procedures in the last three years a content evaluation of the PAC 10 activities could be helpful for the formulation of a perspective for the next three years, improving the already initiated change in direction of implementing activities of PAC 10 disseminated in the Background Paper, November 29-2012.</w:t>
      </w:r>
    </w:p>
    <w:p w:rsidR="00953C87" w:rsidRPr="00953C87" w:rsidRDefault="00953C87" w:rsidP="00953C87">
      <w:pPr>
        <w:autoSpaceDE w:val="0"/>
        <w:autoSpaceDN w:val="0"/>
        <w:adjustRightInd w:val="0"/>
        <w:spacing w:after="0"/>
        <w:rPr>
          <w:rFonts w:ascii="Times New Roman" w:eastAsia="Calibri" w:hAnsi="Times New Roman"/>
          <w:i/>
          <w:sz w:val="22"/>
          <w:szCs w:val="22"/>
          <w:lang w:val="en-GB"/>
        </w:rPr>
      </w:pPr>
    </w:p>
    <w:p w:rsidR="00953C87" w:rsidRPr="00953C87" w:rsidRDefault="00953C87" w:rsidP="00953C87">
      <w:pPr>
        <w:autoSpaceDE w:val="0"/>
        <w:autoSpaceDN w:val="0"/>
        <w:adjustRightInd w:val="0"/>
        <w:spacing w:after="0"/>
        <w:jc w:val="both"/>
        <w:rPr>
          <w:rFonts w:ascii="Times New Roman" w:eastAsia="Calibri" w:hAnsi="Times New Roman"/>
          <w:i/>
          <w:sz w:val="22"/>
          <w:szCs w:val="22"/>
          <w:lang w:val="en-GB"/>
        </w:rPr>
      </w:pPr>
      <w:r w:rsidRPr="00953C87">
        <w:rPr>
          <w:rFonts w:ascii="Times New Roman" w:eastAsia="Calibri" w:hAnsi="Times New Roman"/>
          <w:i/>
          <w:sz w:val="22"/>
          <w:szCs w:val="22"/>
          <w:lang w:val="en-GB"/>
        </w:rPr>
        <w:t>An additional open question is the relation between the EUSDR and the Cohesion Policy, in practical terms the interface between PACs and the relevant (national) Fund Management.</w:t>
      </w:r>
    </w:p>
    <w:p w:rsidR="00953C87" w:rsidRPr="00953C87" w:rsidRDefault="00953C87" w:rsidP="00953C87">
      <w:pPr>
        <w:autoSpaceDE w:val="0"/>
        <w:autoSpaceDN w:val="0"/>
        <w:adjustRightInd w:val="0"/>
        <w:spacing w:after="0"/>
        <w:rPr>
          <w:rFonts w:ascii="Times New Roman" w:eastAsia="Calibri" w:hAnsi="Times New Roman"/>
          <w:i/>
          <w:sz w:val="22"/>
          <w:szCs w:val="22"/>
          <w:lang w:val="en-GB"/>
        </w:rPr>
      </w:pPr>
    </w:p>
    <w:p w:rsidR="00953C87" w:rsidRPr="00953C87" w:rsidRDefault="00953C87" w:rsidP="00953C87">
      <w:pPr>
        <w:autoSpaceDE w:val="0"/>
        <w:autoSpaceDN w:val="0"/>
        <w:adjustRightInd w:val="0"/>
        <w:spacing w:after="0"/>
        <w:rPr>
          <w:rFonts w:ascii="Times New Roman" w:eastAsia="Calibri" w:hAnsi="Times New Roman"/>
          <w:sz w:val="22"/>
          <w:szCs w:val="22"/>
          <w:lang w:val="en-GB"/>
        </w:rPr>
      </w:pPr>
    </w:p>
    <w:p w:rsidR="00953C87" w:rsidRPr="00953C87" w:rsidRDefault="00953C87" w:rsidP="00953C87">
      <w:pPr>
        <w:numPr>
          <w:ilvl w:val="0"/>
          <w:numId w:val="18"/>
        </w:numPr>
        <w:autoSpaceDE w:val="0"/>
        <w:autoSpaceDN w:val="0"/>
        <w:adjustRightInd w:val="0"/>
        <w:spacing w:after="0" w:line="276" w:lineRule="auto"/>
        <w:contextualSpacing/>
        <w:rPr>
          <w:rFonts w:ascii="Times New Roman" w:eastAsia="Calibri" w:hAnsi="Times New Roman"/>
          <w:b/>
          <w:sz w:val="22"/>
          <w:szCs w:val="22"/>
          <w:lang w:val="en-GB"/>
        </w:rPr>
      </w:pPr>
      <w:r w:rsidRPr="00953C87">
        <w:rPr>
          <w:rFonts w:ascii="Times New Roman" w:eastAsia="Calibri" w:hAnsi="Times New Roman"/>
          <w:b/>
          <w:sz w:val="22"/>
          <w:szCs w:val="22"/>
          <w:lang w:val="en-GB"/>
        </w:rPr>
        <w:t>Description of the role of PACs</w:t>
      </w:r>
    </w:p>
    <w:p w:rsidR="00953C87" w:rsidRPr="00953C87" w:rsidRDefault="00953C87" w:rsidP="00953C87">
      <w:pPr>
        <w:autoSpaceDE w:val="0"/>
        <w:autoSpaceDN w:val="0"/>
        <w:adjustRightInd w:val="0"/>
        <w:spacing w:after="0"/>
        <w:ind w:left="720"/>
        <w:contextualSpacing/>
        <w:rPr>
          <w:rFonts w:ascii="Times New Roman" w:eastAsia="Calibri" w:hAnsi="Times New Roman"/>
          <w:sz w:val="22"/>
          <w:szCs w:val="22"/>
          <w:lang w:val="en-GB"/>
        </w:rPr>
      </w:pPr>
    </w:p>
    <w:p w:rsidR="00953C87" w:rsidRPr="00953C87" w:rsidRDefault="00953C87" w:rsidP="00953C87">
      <w:pPr>
        <w:autoSpaceDE w:val="0"/>
        <w:autoSpaceDN w:val="0"/>
        <w:adjustRightInd w:val="0"/>
        <w:spacing w:after="0"/>
        <w:jc w:val="both"/>
        <w:rPr>
          <w:rFonts w:ascii="Times New Roman" w:eastAsia="Calibri" w:hAnsi="Times New Roman"/>
          <w:sz w:val="22"/>
          <w:szCs w:val="22"/>
          <w:lang w:val="en-GB"/>
        </w:rPr>
      </w:pPr>
      <w:r w:rsidRPr="00953C87">
        <w:rPr>
          <w:rFonts w:ascii="Times New Roman" w:eastAsia="Calibri" w:hAnsi="Times New Roman"/>
          <w:b/>
          <w:sz w:val="22"/>
          <w:szCs w:val="22"/>
          <w:lang w:val="en-GB"/>
        </w:rPr>
        <w:t>The initial description of the role of the PAC</w:t>
      </w:r>
      <w:r w:rsidRPr="00953C87">
        <w:rPr>
          <w:rFonts w:ascii="Times New Roman" w:eastAsia="Calibri" w:hAnsi="Times New Roman"/>
          <w:sz w:val="22"/>
          <w:szCs w:val="22"/>
          <w:lang w:val="en-GB"/>
        </w:rPr>
        <w:t xml:space="preserve">s was amongst others stated in the Annex of the letter of the Commissioner Hahn of </w:t>
      </w:r>
      <w:r w:rsidRPr="00953C87">
        <w:rPr>
          <w:rFonts w:ascii="Times New Roman" w:eastAsia="Calibri" w:hAnsi="Times New Roman"/>
          <w:b/>
          <w:sz w:val="22"/>
          <w:szCs w:val="22"/>
          <w:lang w:val="en-GB"/>
        </w:rPr>
        <w:t>March 2011</w:t>
      </w:r>
      <w:r w:rsidRPr="00953C87">
        <w:rPr>
          <w:rFonts w:ascii="Times New Roman" w:eastAsia="Calibri" w:hAnsi="Times New Roman"/>
          <w:sz w:val="22"/>
          <w:szCs w:val="22"/>
          <w:lang w:val="en-GB"/>
        </w:rPr>
        <w:t>, the “Guidance to the Priority Area Coordinators” and later confirmed in the conclusions of the General Affairs Council of 13 April 2011:</w:t>
      </w:r>
    </w:p>
    <w:p w:rsidR="00953C87" w:rsidRPr="00953C87" w:rsidRDefault="00953C87" w:rsidP="00953C87">
      <w:pPr>
        <w:autoSpaceDE w:val="0"/>
        <w:autoSpaceDN w:val="0"/>
        <w:adjustRightInd w:val="0"/>
        <w:spacing w:after="0"/>
        <w:jc w:val="both"/>
        <w:rPr>
          <w:rFonts w:ascii="Times New Roman" w:eastAsia="Calibri" w:hAnsi="Times New Roman"/>
          <w:sz w:val="22"/>
          <w:szCs w:val="22"/>
          <w:lang w:val="en-GB"/>
        </w:rPr>
      </w:pPr>
    </w:p>
    <w:p w:rsidR="00953C87" w:rsidRPr="00953C87" w:rsidRDefault="00953C87" w:rsidP="00953C87">
      <w:pPr>
        <w:autoSpaceDE w:val="0"/>
        <w:autoSpaceDN w:val="0"/>
        <w:adjustRightInd w:val="0"/>
        <w:spacing w:after="0"/>
        <w:jc w:val="both"/>
        <w:rPr>
          <w:rFonts w:ascii="Times New Roman" w:eastAsia="Calibri" w:hAnsi="Times New Roman"/>
          <w:sz w:val="22"/>
          <w:szCs w:val="22"/>
          <w:lang w:val="en-GB"/>
        </w:rPr>
      </w:pPr>
      <w:r w:rsidRPr="00953C87">
        <w:rPr>
          <w:rFonts w:ascii="Times New Roman" w:eastAsia="Calibri" w:hAnsi="Times New Roman"/>
          <w:sz w:val="22"/>
          <w:szCs w:val="22"/>
          <w:lang w:val="en-GB"/>
        </w:rPr>
        <w:t xml:space="preserve">PACs “are key actors in its implementation, making the Strategy operational. </w:t>
      </w:r>
      <w:r w:rsidRPr="00953C87">
        <w:rPr>
          <w:rFonts w:ascii="Times New Roman" w:eastAsia="Calibri" w:hAnsi="Times New Roman"/>
          <w:i/>
          <w:sz w:val="22"/>
          <w:szCs w:val="22"/>
          <w:lang w:val="en-GB"/>
        </w:rPr>
        <w:t xml:space="preserve">Their responsibility is </w:t>
      </w:r>
      <w:r w:rsidRPr="00953C87">
        <w:rPr>
          <w:rFonts w:ascii="Times New Roman" w:eastAsia="Calibri" w:hAnsi="Times New Roman"/>
          <w:b/>
          <w:i/>
          <w:sz w:val="22"/>
          <w:szCs w:val="22"/>
          <w:lang w:val="en-GB"/>
        </w:rPr>
        <w:t>to provide the best implementation framework</w:t>
      </w:r>
      <w:r w:rsidRPr="00953C87">
        <w:rPr>
          <w:rFonts w:ascii="Times New Roman" w:eastAsia="Calibri" w:hAnsi="Times New Roman"/>
          <w:i/>
          <w:sz w:val="22"/>
          <w:szCs w:val="22"/>
          <w:lang w:val="en-GB"/>
        </w:rPr>
        <w:t>, so that the appropriate measures can be implemented as foreseen and on time</w:t>
      </w:r>
      <w:r w:rsidRPr="00953C87">
        <w:rPr>
          <w:rFonts w:ascii="Times New Roman" w:eastAsia="Calibri" w:hAnsi="Times New Roman"/>
          <w:sz w:val="22"/>
          <w:szCs w:val="22"/>
          <w:lang w:val="en-GB"/>
        </w:rPr>
        <w:t>. Committed, proactive and effective coordinators will make the Strategy a success.”</w:t>
      </w:r>
    </w:p>
    <w:p w:rsidR="00953C87" w:rsidRPr="00953C87" w:rsidRDefault="00953C87" w:rsidP="00953C87">
      <w:pPr>
        <w:autoSpaceDE w:val="0"/>
        <w:autoSpaceDN w:val="0"/>
        <w:adjustRightInd w:val="0"/>
        <w:spacing w:after="0"/>
        <w:jc w:val="both"/>
        <w:rPr>
          <w:rFonts w:ascii="Times New Roman" w:eastAsia="Calibri" w:hAnsi="Times New Roman"/>
          <w:sz w:val="22"/>
          <w:szCs w:val="22"/>
          <w:lang w:val="en-GB"/>
        </w:rPr>
      </w:pPr>
    </w:p>
    <w:p w:rsidR="00953C87" w:rsidRPr="00953C87" w:rsidRDefault="00953C87" w:rsidP="00953C87">
      <w:pPr>
        <w:autoSpaceDE w:val="0"/>
        <w:autoSpaceDN w:val="0"/>
        <w:adjustRightInd w:val="0"/>
        <w:spacing w:after="0"/>
        <w:jc w:val="both"/>
        <w:rPr>
          <w:rFonts w:ascii="Times New Roman" w:eastAsia="Calibri" w:hAnsi="Times New Roman"/>
          <w:sz w:val="22"/>
          <w:szCs w:val="22"/>
          <w:lang w:val="en-GB"/>
        </w:rPr>
      </w:pPr>
      <w:r w:rsidRPr="00953C87">
        <w:rPr>
          <w:rFonts w:ascii="Times New Roman" w:eastAsia="Calibri" w:hAnsi="Times New Roman"/>
          <w:sz w:val="22"/>
          <w:szCs w:val="22"/>
          <w:lang w:val="en-GB"/>
        </w:rPr>
        <w:t>PACs “are the prime contact for the Commission for the PA concerned. They will furthermore work in close contact with all stakeholders involved, especially other countries, but also regional and local authorities, inter-governmental and non-governmental bodies. Their work is transnational, inter-sectoral and inter-institutional.”</w:t>
      </w:r>
    </w:p>
    <w:p w:rsidR="00953C87" w:rsidRPr="00953C87" w:rsidRDefault="00953C87" w:rsidP="00953C87">
      <w:pPr>
        <w:autoSpaceDE w:val="0"/>
        <w:autoSpaceDN w:val="0"/>
        <w:adjustRightInd w:val="0"/>
        <w:spacing w:after="0"/>
        <w:jc w:val="both"/>
        <w:rPr>
          <w:rFonts w:ascii="Times New Roman" w:eastAsia="Calibri" w:hAnsi="Times New Roman"/>
          <w:sz w:val="22"/>
          <w:szCs w:val="22"/>
          <w:lang w:val="en-GB"/>
        </w:rPr>
      </w:pPr>
    </w:p>
    <w:p w:rsidR="00953C87" w:rsidRPr="00953C87" w:rsidRDefault="00953C87" w:rsidP="00953C87">
      <w:pPr>
        <w:autoSpaceDE w:val="0"/>
        <w:autoSpaceDN w:val="0"/>
        <w:adjustRightInd w:val="0"/>
        <w:spacing w:after="0"/>
        <w:jc w:val="both"/>
        <w:rPr>
          <w:rFonts w:ascii="Times New Roman" w:eastAsia="Calibri" w:hAnsi="Times New Roman"/>
          <w:sz w:val="22"/>
          <w:szCs w:val="22"/>
          <w:lang w:val="en-GB"/>
        </w:rPr>
      </w:pPr>
      <w:r w:rsidRPr="00953C87">
        <w:rPr>
          <w:rFonts w:ascii="Times New Roman" w:eastAsia="Calibri" w:hAnsi="Times New Roman"/>
          <w:sz w:val="22"/>
          <w:szCs w:val="22"/>
          <w:lang w:val="en-GB"/>
        </w:rPr>
        <w:t xml:space="preserve">Further remarks to the role of the PACs are given in the First report of the Commission concerning the EUSDR from </w:t>
      </w:r>
      <w:r w:rsidRPr="00953C87">
        <w:rPr>
          <w:rFonts w:ascii="Times New Roman" w:eastAsia="Calibri" w:hAnsi="Times New Roman"/>
          <w:b/>
          <w:sz w:val="22"/>
          <w:szCs w:val="22"/>
          <w:lang w:val="en-GB"/>
        </w:rPr>
        <w:t>April 2013</w:t>
      </w:r>
      <w:r w:rsidRPr="00953C87">
        <w:rPr>
          <w:rFonts w:ascii="Times New Roman" w:eastAsia="Calibri" w:hAnsi="Times New Roman"/>
          <w:sz w:val="22"/>
          <w:szCs w:val="22"/>
          <w:lang w:val="en-GB"/>
        </w:rPr>
        <w:t xml:space="preserve">: </w:t>
      </w:r>
    </w:p>
    <w:p w:rsidR="00953C87" w:rsidRPr="00953C87" w:rsidRDefault="00953C87" w:rsidP="00953C87">
      <w:pPr>
        <w:autoSpaceDE w:val="0"/>
        <w:autoSpaceDN w:val="0"/>
        <w:adjustRightInd w:val="0"/>
        <w:spacing w:after="0"/>
        <w:jc w:val="both"/>
        <w:rPr>
          <w:rFonts w:ascii="Times New Roman" w:eastAsia="Calibri" w:hAnsi="Times New Roman"/>
          <w:sz w:val="22"/>
          <w:szCs w:val="22"/>
          <w:lang w:val="en-GB"/>
        </w:rPr>
      </w:pPr>
    </w:p>
    <w:p w:rsidR="00953C87" w:rsidRPr="00953C87" w:rsidRDefault="00953C87" w:rsidP="00953C87">
      <w:pPr>
        <w:autoSpaceDE w:val="0"/>
        <w:autoSpaceDN w:val="0"/>
        <w:adjustRightInd w:val="0"/>
        <w:spacing w:after="0"/>
        <w:jc w:val="both"/>
        <w:rPr>
          <w:rFonts w:ascii="Times New Roman" w:eastAsia="Calibri" w:hAnsi="Times New Roman"/>
          <w:sz w:val="22"/>
          <w:szCs w:val="22"/>
          <w:lang w:val="en-GB"/>
        </w:rPr>
      </w:pPr>
      <w:r w:rsidRPr="00953C87">
        <w:rPr>
          <w:rFonts w:ascii="Times New Roman" w:eastAsia="Calibri" w:hAnsi="Times New Roman"/>
          <w:sz w:val="22"/>
          <w:szCs w:val="22"/>
          <w:lang w:val="en-GB"/>
        </w:rPr>
        <w:t>Pos. 5 Lessons learned:</w:t>
      </w:r>
    </w:p>
    <w:p w:rsidR="00953C87" w:rsidRPr="00953C87" w:rsidRDefault="00953C87" w:rsidP="00953C87">
      <w:pPr>
        <w:autoSpaceDE w:val="0"/>
        <w:autoSpaceDN w:val="0"/>
        <w:adjustRightInd w:val="0"/>
        <w:spacing w:after="0"/>
        <w:jc w:val="both"/>
        <w:rPr>
          <w:rFonts w:ascii="Times New Roman" w:eastAsia="Calibri" w:hAnsi="Times New Roman"/>
          <w:sz w:val="22"/>
          <w:szCs w:val="22"/>
          <w:lang w:val="en-GB"/>
        </w:rPr>
      </w:pPr>
      <w:r w:rsidRPr="00953C87">
        <w:rPr>
          <w:rFonts w:ascii="Times New Roman" w:eastAsia="Calibri" w:hAnsi="Times New Roman"/>
          <w:sz w:val="22"/>
          <w:szCs w:val="22"/>
          <w:lang w:val="en-GB"/>
        </w:rPr>
        <w:t xml:space="preserve">“National Contact Points, Priority Area Coordinators and their Steering Groups form the implementation core of the Strategy. </w:t>
      </w:r>
      <w:r w:rsidRPr="00953C87">
        <w:rPr>
          <w:rFonts w:ascii="Times New Roman" w:eastAsia="Calibri" w:hAnsi="Times New Roman"/>
          <w:b/>
          <w:i/>
          <w:sz w:val="22"/>
          <w:szCs w:val="22"/>
          <w:lang w:val="en-GB"/>
        </w:rPr>
        <w:t>Their work needs further embedding in political and administrative structures.</w:t>
      </w:r>
      <w:r w:rsidRPr="00953C87">
        <w:rPr>
          <w:rFonts w:ascii="Times New Roman" w:eastAsia="Calibri" w:hAnsi="Times New Roman"/>
          <w:sz w:val="22"/>
          <w:szCs w:val="22"/>
          <w:lang w:val="en-GB"/>
        </w:rPr>
        <w:t xml:space="preserve"> Their visible, central </w:t>
      </w:r>
      <w:r w:rsidRPr="00953C87">
        <w:rPr>
          <w:rFonts w:ascii="Times New Roman" w:eastAsia="Calibri" w:hAnsi="Times New Roman"/>
          <w:sz w:val="22"/>
          <w:szCs w:val="22"/>
          <w:lang w:val="en-GB"/>
        </w:rPr>
        <w:lastRenderedPageBreak/>
        <w:t>role requires institutional stability, political recognition and allocation of sufficient human resources. Adequate staff and support from ministries to enable them to fulfil their role is crucial”.</w:t>
      </w:r>
    </w:p>
    <w:p w:rsidR="00953C87" w:rsidRPr="00953C87" w:rsidRDefault="00953C87" w:rsidP="00953C87">
      <w:pPr>
        <w:autoSpaceDE w:val="0"/>
        <w:autoSpaceDN w:val="0"/>
        <w:adjustRightInd w:val="0"/>
        <w:spacing w:after="0"/>
        <w:jc w:val="both"/>
        <w:rPr>
          <w:rFonts w:ascii="Times New Roman" w:eastAsia="Calibri" w:hAnsi="Times New Roman"/>
          <w:sz w:val="22"/>
          <w:szCs w:val="22"/>
          <w:lang w:val="en-GB"/>
        </w:rPr>
      </w:pPr>
    </w:p>
    <w:p w:rsidR="00953C87" w:rsidRPr="00953C87" w:rsidRDefault="00953C87" w:rsidP="00953C87">
      <w:pPr>
        <w:autoSpaceDE w:val="0"/>
        <w:autoSpaceDN w:val="0"/>
        <w:adjustRightInd w:val="0"/>
        <w:spacing w:after="0"/>
        <w:jc w:val="both"/>
        <w:rPr>
          <w:rFonts w:ascii="Times New Roman" w:eastAsia="Calibri" w:hAnsi="Times New Roman"/>
          <w:sz w:val="22"/>
          <w:szCs w:val="22"/>
          <w:lang w:val="en-GB"/>
        </w:rPr>
      </w:pPr>
      <w:r w:rsidRPr="00953C87">
        <w:rPr>
          <w:rFonts w:ascii="Times New Roman" w:eastAsia="Calibri" w:hAnsi="Times New Roman"/>
          <w:sz w:val="22"/>
          <w:szCs w:val="22"/>
          <w:lang w:val="en-GB"/>
        </w:rPr>
        <w:t>Pos.6, Recommendations:</w:t>
      </w:r>
    </w:p>
    <w:p w:rsidR="00953C87" w:rsidRPr="00953C87" w:rsidRDefault="00953C87" w:rsidP="00953C87">
      <w:pPr>
        <w:autoSpaceDE w:val="0"/>
        <w:autoSpaceDN w:val="0"/>
        <w:adjustRightInd w:val="0"/>
        <w:spacing w:after="0"/>
        <w:jc w:val="both"/>
        <w:rPr>
          <w:rFonts w:ascii="Times New Roman" w:eastAsia="Calibri" w:hAnsi="Times New Roman"/>
          <w:sz w:val="22"/>
          <w:szCs w:val="22"/>
          <w:lang w:val="en-GB"/>
        </w:rPr>
      </w:pPr>
      <w:r w:rsidRPr="00953C87">
        <w:rPr>
          <w:rFonts w:ascii="Times New Roman" w:eastAsia="Calibri" w:hAnsi="Times New Roman"/>
          <w:sz w:val="22"/>
          <w:szCs w:val="22"/>
          <w:lang w:val="en-GB"/>
        </w:rPr>
        <w:t>…”the Commission recommends that participating countries and regions continuously monitor the implementation of all Priority Areas, including commitment at political level and in terms of concrete achievements, with a view to concentrating on specific challenges, and ensuring focus as well as providing the basis for prioritisation and a leaner, more results-oriented structure;”</w:t>
      </w:r>
    </w:p>
    <w:p w:rsidR="00953C87" w:rsidRPr="00953C87" w:rsidRDefault="00953C87" w:rsidP="00953C87">
      <w:pPr>
        <w:autoSpaceDE w:val="0"/>
        <w:autoSpaceDN w:val="0"/>
        <w:adjustRightInd w:val="0"/>
        <w:spacing w:after="0"/>
        <w:jc w:val="both"/>
        <w:rPr>
          <w:rFonts w:ascii="Times New Roman" w:eastAsia="Calibri" w:hAnsi="Times New Roman"/>
          <w:sz w:val="22"/>
          <w:szCs w:val="22"/>
          <w:lang w:val="en-GB"/>
        </w:rPr>
      </w:pPr>
    </w:p>
    <w:p w:rsidR="00953C87" w:rsidRPr="00953C87" w:rsidRDefault="00953C87" w:rsidP="00953C87">
      <w:pPr>
        <w:autoSpaceDE w:val="0"/>
        <w:autoSpaceDN w:val="0"/>
        <w:adjustRightInd w:val="0"/>
        <w:spacing w:after="0"/>
        <w:jc w:val="both"/>
        <w:rPr>
          <w:rFonts w:ascii="Times New Roman" w:eastAsia="Calibri" w:hAnsi="Times New Roman"/>
          <w:sz w:val="22"/>
          <w:szCs w:val="22"/>
          <w:lang w:val="en-GB"/>
        </w:rPr>
      </w:pPr>
      <w:r w:rsidRPr="00953C87">
        <w:rPr>
          <w:rFonts w:ascii="Times New Roman" w:eastAsia="Calibri" w:hAnsi="Times New Roman"/>
          <w:sz w:val="22"/>
          <w:szCs w:val="22"/>
          <w:lang w:val="en-GB"/>
        </w:rPr>
        <w:t xml:space="preserve">Non-paper on governance of the EC </w:t>
      </w:r>
      <w:r w:rsidRPr="00953C87">
        <w:rPr>
          <w:rFonts w:ascii="Times New Roman" w:eastAsia="Calibri" w:hAnsi="Times New Roman"/>
          <w:b/>
          <w:sz w:val="22"/>
          <w:szCs w:val="22"/>
          <w:lang w:val="en-GB"/>
        </w:rPr>
        <w:t>February 2014</w:t>
      </w:r>
      <w:r w:rsidRPr="00953C87">
        <w:rPr>
          <w:rFonts w:ascii="Times New Roman" w:eastAsia="Calibri" w:hAnsi="Times New Roman"/>
          <w:sz w:val="22"/>
          <w:szCs w:val="22"/>
          <w:lang w:val="en-GB"/>
        </w:rPr>
        <w:t>:</w:t>
      </w:r>
    </w:p>
    <w:p w:rsidR="00953C87" w:rsidRPr="00953C87" w:rsidRDefault="00953C87" w:rsidP="00953C87">
      <w:pPr>
        <w:autoSpaceDE w:val="0"/>
        <w:autoSpaceDN w:val="0"/>
        <w:adjustRightInd w:val="0"/>
        <w:spacing w:after="0"/>
        <w:rPr>
          <w:rFonts w:ascii="Times New Roman" w:eastAsia="Calibri" w:hAnsi="Times New Roman"/>
          <w:sz w:val="22"/>
          <w:szCs w:val="22"/>
          <w:lang w:val="en-GB"/>
        </w:rPr>
      </w:pPr>
    </w:p>
    <w:p w:rsidR="00953C87" w:rsidRPr="00953C87" w:rsidRDefault="00953C87" w:rsidP="00953C87">
      <w:pPr>
        <w:autoSpaceDE w:val="0"/>
        <w:autoSpaceDN w:val="0"/>
        <w:adjustRightInd w:val="0"/>
        <w:spacing w:after="0"/>
        <w:rPr>
          <w:rFonts w:ascii="Times New Roman" w:eastAsia="Calibri" w:hAnsi="Times New Roman"/>
          <w:sz w:val="22"/>
          <w:szCs w:val="22"/>
          <w:lang w:val="en-GB"/>
        </w:rPr>
      </w:pPr>
      <w:r w:rsidRPr="00953C87">
        <w:rPr>
          <w:rFonts w:ascii="Times New Roman" w:eastAsia="Calibri" w:hAnsi="Times New Roman"/>
          <w:sz w:val="22"/>
          <w:szCs w:val="22"/>
          <w:lang w:val="en-GB"/>
        </w:rPr>
        <w:t xml:space="preserve">“Coordinators are at </w:t>
      </w:r>
      <w:r w:rsidRPr="00953C87">
        <w:rPr>
          <w:rFonts w:ascii="Times New Roman" w:eastAsia="Calibri" w:hAnsi="Times New Roman"/>
          <w:b/>
          <w:sz w:val="22"/>
          <w:szCs w:val="22"/>
          <w:lang w:val="en-GB"/>
        </w:rPr>
        <w:t>the interface between concrete projects and activities and the political level</w:t>
      </w:r>
      <w:r w:rsidRPr="00953C87">
        <w:rPr>
          <w:rFonts w:ascii="Times New Roman" w:eastAsia="Calibri" w:hAnsi="Times New Roman"/>
          <w:sz w:val="22"/>
          <w:szCs w:val="22"/>
          <w:lang w:val="en-GB"/>
        </w:rPr>
        <w:t xml:space="preserve">. Together with their Steering Groups they should be facilitated to act as the </w:t>
      </w:r>
      <w:r w:rsidRPr="00953C87">
        <w:rPr>
          <w:rFonts w:ascii="Times New Roman" w:eastAsia="Calibri" w:hAnsi="Times New Roman"/>
          <w:b/>
          <w:sz w:val="22"/>
          <w:szCs w:val="22"/>
          <w:lang w:val="en-GB"/>
        </w:rPr>
        <w:t>thematically competent body</w:t>
      </w:r>
      <w:r w:rsidRPr="00953C87">
        <w:rPr>
          <w:rFonts w:ascii="Times New Roman" w:eastAsia="Calibri" w:hAnsi="Times New Roman"/>
          <w:sz w:val="22"/>
          <w:szCs w:val="22"/>
          <w:lang w:val="en-GB"/>
        </w:rPr>
        <w:t xml:space="preserve"> for the macro-region, </w:t>
      </w:r>
      <w:r w:rsidRPr="00953C87">
        <w:rPr>
          <w:rFonts w:ascii="Times New Roman" w:eastAsia="Calibri" w:hAnsi="Times New Roman"/>
          <w:b/>
          <w:sz w:val="22"/>
          <w:szCs w:val="22"/>
          <w:lang w:val="en-GB"/>
        </w:rPr>
        <w:t xml:space="preserve">advising </w:t>
      </w:r>
      <w:r w:rsidRPr="00953C87">
        <w:rPr>
          <w:rFonts w:ascii="Times New Roman" w:eastAsia="Calibri" w:hAnsi="Times New Roman"/>
          <w:sz w:val="22"/>
          <w:szCs w:val="22"/>
          <w:lang w:val="en-GB"/>
        </w:rPr>
        <w:t xml:space="preserve">policy level, and </w:t>
      </w:r>
      <w:r w:rsidRPr="00953C87">
        <w:rPr>
          <w:rFonts w:ascii="Times New Roman" w:eastAsia="Calibri" w:hAnsi="Times New Roman"/>
          <w:b/>
          <w:sz w:val="22"/>
          <w:szCs w:val="22"/>
          <w:lang w:val="en-GB"/>
        </w:rPr>
        <w:t>bringing</w:t>
      </w:r>
      <w:r w:rsidRPr="00953C87">
        <w:rPr>
          <w:rFonts w:ascii="Times New Roman" w:eastAsia="Calibri" w:hAnsi="Times New Roman"/>
          <w:sz w:val="22"/>
          <w:szCs w:val="22"/>
          <w:lang w:val="en-GB"/>
        </w:rPr>
        <w:t xml:space="preserve"> the insights from the ground </w:t>
      </w:r>
      <w:r w:rsidRPr="00953C87">
        <w:rPr>
          <w:rFonts w:ascii="Times New Roman" w:eastAsia="Calibri" w:hAnsi="Times New Roman"/>
          <w:b/>
          <w:sz w:val="22"/>
          <w:szCs w:val="22"/>
          <w:lang w:val="en-GB"/>
        </w:rPr>
        <w:t>into</w:t>
      </w:r>
      <w:r w:rsidRPr="00953C87">
        <w:rPr>
          <w:rFonts w:ascii="Times New Roman" w:eastAsia="Calibri" w:hAnsi="Times New Roman"/>
          <w:sz w:val="22"/>
          <w:szCs w:val="22"/>
          <w:lang w:val="en-GB"/>
        </w:rPr>
        <w:t xml:space="preserve"> the political and strategic debates”.</w:t>
      </w:r>
    </w:p>
    <w:p w:rsidR="00953C87" w:rsidRPr="00953C87" w:rsidRDefault="00953C87" w:rsidP="00953C87">
      <w:pPr>
        <w:autoSpaceDE w:val="0"/>
        <w:autoSpaceDN w:val="0"/>
        <w:adjustRightInd w:val="0"/>
        <w:spacing w:after="0"/>
        <w:rPr>
          <w:rFonts w:ascii="Times New Roman" w:eastAsia="Calibri" w:hAnsi="Times New Roman"/>
          <w:sz w:val="22"/>
          <w:szCs w:val="22"/>
          <w:lang w:val="en-GB"/>
        </w:rPr>
      </w:pPr>
    </w:p>
    <w:p w:rsidR="00953C87" w:rsidRPr="00953C87" w:rsidRDefault="00953C87" w:rsidP="00953C87">
      <w:pPr>
        <w:numPr>
          <w:ilvl w:val="0"/>
          <w:numId w:val="18"/>
        </w:numPr>
        <w:spacing w:line="276" w:lineRule="auto"/>
        <w:contextualSpacing/>
        <w:rPr>
          <w:rFonts w:ascii="Times New Roman" w:eastAsia="Calibri" w:hAnsi="Times New Roman"/>
          <w:b/>
          <w:sz w:val="22"/>
          <w:szCs w:val="22"/>
          <w:lang w:val="en-GB"/>
        </w:rPr>
      </w:pPr>
      <w:r w:rsidRPr="00953C87">
        <w:rPr>
          <w:rFonts w:ascii="Times New Roman" w:eastAsia="Calibri" w:hAnsi="Times New Roman"/>
          <w:b/>
          <w:sz w:val="22"/>
          <w:szCs w:val="22"/>
          <w:lang w:val="en-GB"/>
        </w:rPr>
        <w:t>The position of PAC 10</w:t>
      </w:r>
    </w:p>
    <w:p w:rsidR="00953C87" w:rsidRPr="00953C87" w:rsidRDefault="00953C87" w:rsidP="00953C87">
      <w:pPr>
        <w:keepNext/>
        <w:keepLines/>
        <w:spacing w:before="200" w:after="100"/>
        <w:outlineLvl w:val="4"/>
        <w:rPr>
          <w:rFonts w:ascii="Times New Roman" w:eastAsia="Times New Roman" w:hAnsi="Times New Roman"/>
          <w:i/>
          <w:color w:val="5F5F5F"/>
          <w:sz w:val="22"/>
          <w:szCs w:val="22"/>
          <w:lang w:val="en-GB" w:eastAsia="de-DE"/>
        </w:rPr>
      </w:pPr>
      <w:r w:rsidRPr="00953C87">
        <w:rPr>
          <w:rFonts w:ascii="Times New Roman" w:eastAsia="Times New Roman" w:hAnsi="Times New Roman"/>
          <w:i/>
          <w:color w:val="5F5F5F"/>
          <w:sz w:val="22"/>
          <w:szCs w:val="22"/>
          <w:lang w:val="en-GB" w:eastAsia="de-DE"/>
        </w:rPr>
        <w:t>The following text is for remembrance only.</w:t>
      </w:r>
    </w:p>
    <w:p w:rsidR="00953C87" w:rsidRPr="00953C87" w:rsidRDefault="00953C87" w:rsidP="00953C87">
      <w:pPr>
        <w:keepNext/>
        <w:keepLines/>
        <w:spacing w:before="200" w:after="100"/>
        <w:outlineLvl w:val="4"/>
        <w:rPr>
          <w:rFonts w:ascii="Times New Roman" w:eastAsia="Times New Roman" w:hAnsi="Times New Roman"/>
          <w:b/>
          <w:sz w:val="22"/>
          <w:szCs w:val="22"/>
          <w:lang w:val="en-GB" w:eastAsia="de-DE"/>
        </w:rPr>
      </w:pPr>
      <w:r w:rsidRPr="00953C87">
        <w:rPr>
          <w:rFonts w:ascii="Times New Roman" w:eastAsia="Times New Roman" w:hAnsi="Times New Roman"/>
          <w:b/>
          <w:sz w:val="22"/>
          <w:szCs w:val="22"/>
          <w:lang w:val="en-GB" w:eastAsia="de-DE"/>
        </w:rPr>
        <w:t>SG Meeting November 2012, Status</w:t>
      </w:r>
    </w:p>
    <w:p w:rsidR="00953C87" w:rsidRPr="00953C87" w:rsidRDefault="00953C87" w:rsidP="00953C87">
      <w:pPr>
        <w:spacing w:before="60" w:after="140" w:line="220" w:lineRule="atLeast"/>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We can say that our work in PA10 generally has been performed in line with the recommendations of the EC and the results of the 2</w:t>
      </w:r>
      <w:r w:rsidRPr="00953C87">
        <w:rPr>
          <w:rFonts w:ascii="Times New Roman" w:eastAsia="Times New Roman" w:hAnsi="Times New Roman"/>
          <w:sz w:val="22"/>
          <w:szCs w:val="22"/>
          <w:vertAlign w:val="superscript"/>
          <w:lang w:val="en-GB" w:eastAsia="de-DE"/>
        </w:rPr>
        <w:t>nd</w:t>
      </w:r>
      <w:r w:rsidRPr="00953C87">
        <w:rPr>
          <w:rFonts w:ascii="Times New Roman" w:eastAsia="Times New Roman" w:hAnsi="Times New Roman"/>
          <w:sz w:val="22"/>
          <w:szCs w:val="22"/>
          <w:lang w:val="en-GB" w:eastAsia="de-DE"/>
        </w:rPr>
        <w:t xml:space="preserve"> Meeting of NCPs and PACs in Bucharest, January 2012 and is well documented in our 1</w:t>
      </w:r>
      <w:r w:rsidRPr="00953C87">
        <w:rPr>
          <w:rFonts w:ascii="Times New Roman" w:eastAsia="Times New Roman" w:hAnsi="Times New Roman"/>
          <w:sz w:val="22"/>
          <w:szCs w:val="22"/>
          <w:vertAlign w:val="superscript"/>
          <w:lang w:val="en-GB" w:eastAsia="de-DE"/>
        </w:rPr>
        <w:t>st</w:t>
      </w:r>
      <w:r w:rsidRPr="00953C87">
        <w:rPr>
          <w:rFonts w:ascii="Times New Roman" w:eastAsia="Times New Roman" w:hAnsi="Times New Roman"/>
          <w:sz w:val="22"/>
          <w:szCs w:val="22"/>
          <w:lang w:val="en-GB" w:eastAsia="de-DE"/>
        </w:rPr>
        <w:t xml:space="preserve"> Annual Report. On the other hand it is true what has been said in Bucharest, that there is no “one - fits - all model” for implementing the Action Plan, as PAs are very diverse. After more than one year dealing with the content of PA 10, I better understand that generally following the line does not seem to be enough. Transforming each action in operational steps in form of projects and project ideas of the traditional type, as we have done in a first try already, for some of the Actions cannot lead to the desired results. The reason why is, that we followed over all the Bucharest line which said “it is easiest to start with the project level and to tackle – in parallel – the strategic level (policy debate)”, forgetting that there are some Actions in PA 10, where “projects” need as a prerequisite an intense political debate and commitment at relatively high levels in state governance systems. If this estimation holds, the while working on PA10 action plan developed in 2012, we can use 2013, the window of opportunity with no open big financing programs to concentrate on political advisory projects on “ensuring policy discussions and policy development” for 2014 and beyond as indicated in the EC “Guidance to the Priority Area Coordinators”. </w:t>
      </w:r>
    </w:p>
    <w:p w:rsidR="00953C87" w:rsidRPr="00953C87" w:rsidRDefault="00953C87" w:rsidP="00953C87">
      <w:pPr>
        <w:spacing w:before="60" w:after="140" w:line="220" w:lineRule="atLeast"/>
        <w:jc w:val="both"/>
        <w:rPr>
          <w:rFonts w:ascii="Times New Roman" w:eastAsia="Times New Roman" w:hAnsi="Times New Roman"/>
          <w:sz w:val="22"/>
          <w:szCs w:val="22"/>
          <w:lang w:val="en-GB" w:eastAsia="de-DE"/>
        </w:rPr>
      </w:pPr>
    </w:p>
    <w:p w:rsidR="00953C87" w:rsidRPr="00953C87" w:rsidRDefault="00953C87" w:rsidP="00953C87">
      <w:pPr>
        <w:spacing w:before="60" w:after="140" w:line="220" w:lineRule="atLeast"/>
        <w:jc w:val="both"/>
        <w:rPr>
          <w:rFonts w:ascii="Times New Roman" w:eastAsia="Times New Roman" w:hAnsi="Times New Roman"/>
          <w:b/>
          <w:sz w:val="22"/>
          <w:szCs w:val="22"/>
          <w:lang w:val="en-GB" w:eastAsia="de-DE"/>
        </w:rPr>
      </w:pPr>
      <w:r w:rsidRPr="00953C87">
        <w:rPr>
          <w:rFonts w:ascii="Times New Roman" w:eastAsia="Times New Roman" w:hAnsi="Times New Roman"/>
          <w:b/>
          <w:sz w:val="22"/>
          <w:szCs w:val="22"/>
          <w:lang w:val="en-GB" w:eastAsia="de-DE"/>
        </w:rPr>
        <w:t>SG Meeting November 2012, proposed orientation in 2013</w:t>
      </w:r>
    </w:p>
    <w:p w:rsidR="00953C87" w:rsidRPr="00953C87" w:rsidRDefault="00953C87" w:rsidP="00953C87">
      <w:pPr>
        <w:spacing w:before="60" w:after="140" w:line="220" w:lineRule="atLeast"/>
        <w:jc w:val="both"/>
        <w:rPr>
          <w:rFonts w:ascii="Times New Roman" w:eastAsia="Times New Roman" w:hAnsi="Times New Roman"/>
          <w:i/>
          <w:sz w:val="22"/>
          <w:szCs w:val="22"/>
          <w:lang w:val="en-GB" w:eastAsia="de-DE"/>
        </w:rPr>
      </w:pPr>
      <w:r w:rsidRPr="00953C87">
        <w:rPr>
          <w:rFonts w:ascii="Times New Roman" w:eastAsia="Times New Roman" w:hAnsi="Times New Roman"/>
          <w:i/>
          <w:sz w:val="22"/>
          <w:szCs w:val="22"/>
          <w:lang w:val="en-GB" w:eastAsia="de-DE"/>
        </w:rPr>
        <w:t>Initiating appropriate policy discussions and decisions needs to remember the overall mission statement of European Policies and to identify the stakeholders who have to become involved.</w:t>
      </w:r>
    </w:p>
    <w:p w:rsidR="00953C87" w:rsidRPr="00953C87" w:rsidRDefault="00953C87" w:rsidP="00953C87">
      <w:pPr>
        <w:jc w:val="both"/>
        <w:rPr>
          <w:rFonts w:ascii="Times New Roman" w:eastAsia="Calibri" w:hAnsi="Times New Roman"/>
          <w:sz w:val="22"/>
          <w:szCs w:val="22"/>
          <w:lang w:val="en-GB"/>
        </w:rPr>
      </w:pPr>
      <w:r w:rsidRPr="00953C87">
        <w:rPr>
          <w:rFonts w:ascii="Times New Roman" w:eastAsia="Calibri" w:hAnsi="Times New Roman"/>
          <w:sz w:val="22"/>
          <w:szCs w:val="22"/>
          <w:lang w:val="en-GB"/>
        </w:rPr>
        <w:t>Basically the issue is to overcome national limitations, foster transnational cooperation/policy development on the macro-regional level and foster European integration. The idea of European integration really matters in this respect, both with regard to EU enlargement and better integration of EU members in the Danube Region (i.e. better spending of EU funding).</w:t>
      </w:r>
    </w:p>
    <w:p w:rsidR="00953C87" w:rsidRPr="00953C87" w:rsidRDefault="00953C87" w:rsidP="00953C87">
      <w:pPr>
        <w:spacing w:before="60" w:after="140" w:line="220" w:lineRule="atLeast"/>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Overcoming national limitations means to look for common interests beyond and to identify transnational needs. The challenge seems to be that the ownership of the Strategy, which is at the moment mainly in the hands of the administrative and government systems of the region, needs a calculated additional move to other political players in the region.</w:t>
      </w:r>
    </w:p>
    <w:p w:rsidR="00953C87" w:rsidRPr="00953C87" w:rsidRDefault="00953C87" w:rsidP="00953C87">
      <w:pPr>
        <w:spacing w:before="60" w:after="140" w:line="220" w:lineRule="atLeast"/>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 xml:space="preserve">The art of organising a political debate in the interest of the people includes a systematic search for already organised multipliers who are related to this variety of interests of individuals, not looking for covering all of them. </w:t>
      </w:r>
      <w:r w:rsidRPr="00953C87">
        <w:rPr>
          <w:rFonts w:ascii="Times New Roman" w:eastAsia="Times New Roman" w:hAnsi="Times New Roman"/>
          <w:sz w:val="22"/>
          <w:szCs w:val="22"/>
          <w:lang w:val="en-GB" w:eastAsia="de-DE"/>
        </w:rPr>
        <w:lastRenderedPageBreak/>
        <w:t>The search could start in the world of political parties for such, traditionally reacting positive on social, democratic and European issues. Another option is the Trade Unions, the religious organisations and NGOs with a humanistic or charitable transnational mission.</w:t>
      </w:r>
    </w:p>
    <w:p w:rsidR="00953C87" w:rsidRPr="00953C87" w:rsidRDefault="00953C87" w:rsidP="00953C87">
      <w:pPr>
        <w:spacing w:before="60" w:after="140" w:line="220" w:lineRule="atLeast"/>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 xml:space="preserve">The hypothesis is that “projects” will appear suddenly, if subsidy programs are adopted and installed again in 2014 +. Not so, the necessary “internal” political debate on </w:t>
      </w:r>
      <w:r w:rsidRPr="00953C87">
        <w:rPr>
          <w:rFonts w:ascii="Times New Roman" w:eastAsia="Times New Roman" w:hAnsi="Times New Roman"/>
          <w:b/>
          <w:sz w:val="22"/>
          <w:szCs w:val="22"/>
          <w:lang w:val="en-GB" w:eastAsia="de-DE"/>
        </w:rPr>
        <w:t>top-down</w:t>
      </w:r>
      <w:r w:rsidRPr="00953C87">
        <w:rPr>
          <w:rFonts w:ascii="Times New Roman" w:eastAsia="Times New Roman" w:hAnsi="Times New Roman"/>
          <w:sz w:val="22"/>
          <w:szCs w:val="22"/>
          <w:lang w:val="en-GB" w:eastAsia="de-DE"/>
        </w:rPr>
        <w:t xml:space="preserve"> </w:t>
      </w:r>
      <w:r w:rsidRPr="00953C87">
        <w:rPr>
          <w:rFonts w:ascii="Times New Roman" w:eastAsia="Times New Roman" w:hAnsi="Times New Roman"/>
          <w:b/>
          <w:sz w:val="22"/>
          <w:szCs w:val="22"/>
          <w:lang w:val="en-GB" w:eastAsia="de-DE"/>
        </w:rPr>
        <w:t>reforms</w:t>
      </w:r>
      <w:r w:rsidRPr="00953C87">
        <w:rPr>
          <w:rFonts w:ascii="Times New Roman" w:eastAsia="Times New Roman" w:hAnsi="Times New Roman"/>
          <w:sz w:val="22"/>
          <w:szCs w:val="22"/>
          <w:lang w:val="en-GB" w:eastAsia="de-DE"/>
        </w:rPr>
        <w:t xml:space="preserve"> in the participating countries as well as a related transnational exchange of views and experiences. The advantage of a political debate also is that it contributes to the dissemination of the issue of the debate – Danube Strategy issues – and can be related to everyday experiences of the people.</w:t>
      </w:r>
    </w:p>
    <w:p w:rsidR="00953C87" w:rsidRPr="00953C87" w:rsidRDefault="00953C87" w:rsidP="00953C87">
      <w:pPr>
        <w:spacing w:line="276" w:lineRule="auto"/>
        <w:rPr>
          <w:rFonts w:ascii="Times New Roman" w:eastAsia="Times New Roman" w:hAnsi="Times New Roman"/>
          <w:sz w:val="22"/>
          <w:szCs w:val="22"/>
          <w:lang w:val="en-GB" w:eastAsia="de-DE"/>
        </w:rPr>
      </w:pPr>
    </w:p>
    <w:p w:rsidR="00953C87" w:rsidRPr="00953C87" w:rsidRDefault="00953C87" w:rsidP="00953C87">
      <w:pPr>
        <w:spacing w:after="0" w:line="220" w:lineRule="atLeast"/>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So the proposed orientation for 2013 meant to include systematically relevant political players in the Region, additionally to the already involved political executive units (governments at different levels). Progress has already been made with regard to:</w:t>
      </w:r>
    </w:p>
    <w:p w:rsidR="00953C87" w:rsidRPr="00953C87" w:rsidRDefault="00953C87" w:rsidP="00953C87">
      <w:pPr>
        <w:spacing w:after="0" w:line="220" w:lineRule="atLeast"/>
        <w:jc w:val="both"/>
        <w:rPr>
          <w:rFonts w:ascii="Times New Roman" w:eastAsia="Times New Roman" w:hAnsi="Times New Roman"/>
          <w:sz w:val="22"/>
          <w:szCs w:val="22"/>
          <w:lang w:val="en-GB" w:eastAsia="de-DE"/>
        </w:rPr>
      </w:pPr>
    </w:p>
    <w:p w:rsidR="00953C87" w:rsidRPr="00953C87" w:rsidRDefault="00953C87" w:rsidP="00953C87">
      <w:pPr>
        <w:numPr>
          <w:ilvl w:val="0"/>
          <w:numId w:val="22"/>
        </w:numPr>
        <w:spacing w:after="0" w:line="220" w:lineRule="atLeast"/>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Regular meetings of Foreign Ministers of the Danube Region Countries</w:t>
      </w:r>
    </w:p>
    <w:p w:rsidR="00953C87" w:rsidRPr="00953C87" w:rsidRDefault="00953C87" w:rsidP="00953C87">
      <w:pPr>
        <w:numPr>
          <w:ilvl w:val="0"/>
          <w:numId w:val="22"/>
        </w:numPr>
        <w:spacing w:after="0" w:line="220" w:lineRule="atLeast"/>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National platforms have been built in several countries such as Bulgaria, Hungary, Austria and Baden-Württemberg</w:t>
      </w:r>
    </w:p>
    <w:p w:rsidR="00953C87" w:rsidRPr="00953C87" w:rsidRDefault="00953C87" w:rsidP="00953C87">
      <w:pPr>
        <w:numPr>
          <w:ilvl w:val="0"/>
          <w:numId w:val="22"/>
        </w:numPr>
        <w:spacing w:after="0" w:line="220" w:lineRule="atLeast"/>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Council of Danube Cities and Regions/Urban Platform Danube Region</w:t>
      </w:r>
    </w:p>
    <w:p w:rsidR="00953C87" w:rsidRPr="00953C87" w:rsidRDefault="00953C87" w:rsidP="00953C87">
      <w:pPr>
        <w:numPr>
          <w:ilvl w:val="0"/>
          <w:numId w:val="22"/>
        </w:numPr>
        <w:spacing w:after="0" w:line="220" w:lineRule="atLeast"/>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EUSDR Units in the Romanian MFA and within the Hungarian administration</w:t>
      </w:r>
    </w:p>
    <w:p w:rsidR="00953C87" w:rsidRPr="00953C87" w:rsidRDefault="00953C87" w:rsidP="00953C87">
      <w:pPr>
        <w:numPr>
          <w:ilvl w:val="0"/>
          <w:numId w:val="22"/>
        </w:numPr>
        <w:spacing w:after="0" w:line="220" w:lineRule="atLeast"/>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Public officers appointed to EUSDR in Austria</w:t>
      </w:r>
    </w:p>
    <w:p w:rsidR="00953C87" w:rsidRPr="00953C87" w:rsidRDefault="00953C87" w:rsidP="00953C87">
      <w:pPr>
        <w:numPr>
          <w:ilvl w:val="0"/>
          <w:numId w:val="22"/>
        </w:numPr>
        <w:spacing w:after="0" w:line="220" w:lineRule="atLeast"/>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Public officers to EUSDR nominated or reappointed in Slovenia.</w:t>
      </w:r>
    </w:p>
    <w:p w:rsidR="00953C87" w:rsidRPr="00953C87" w:rsidRDefault="00953C87" w:rsidP="00953C87">
      <w:pPr>
        <w:spacing w:before="60" w:after="140" w:line="220" w:lineRule="atLeast"/>
        <w:jc w:val="both"/>
        <w:rPr>
          <w:rFonts w:ascii="Times New Roman" w:eastAsia="Times New Roman" w:hAnsi="Times New Roman"/>
          <w:i/>
          <w:color w:val="FF0000"/>
          <w:sz w:val="22"/>
          <w:szCs w:val="22"/>
          <w:lang w:val="en-GB" w:eastAsia="de-DE"/>
        </w:rPr>
      </w:pPr>
    </w:p>
    <w:p w:rsidR="00953C87" w:rsidRPr="00953C87" w:rsidRDefault="00953C87" w:rsidP="00953C87">
      <w:pPr>
        <w:numPr>
          <w:ilvl w:val="0"/>
          <w:numId w:val="18"/>
        </w:numPr>
        <w:spacing w:before="60" w:after="140" w:line="220" w:lineRule="atLeast"/>
        <w:jc w:val="both"/>
        <w:rPr>
          <w:rFonts w:ascii="Times New Roman" w:eastAsia="Times New Roman" w:hAnsi="Times New Roman"/>
          <w:b/>
          <w:sz w:val="22"/>
          <w:szCs w:val="22"/>
          <w:lang w:val="en-GB" w:eastAsia="de-DE"/>
        </w:rPr>
      </w:pPr>
      <w:r w:rsidRPr="00953C87">
        <w:rPr>
          <w:rFonts w:ascii="Times New Roman" w:eastAsia="Times New Roman" w:hAnsi="Times New Roman"/>
          <w:b/>
          <w:sz w:val="22"/>
          <w:szCs w:val="22"/>
          <w:lang w:val="en-GB" w:eastAsia="de-DE"/>
        </w:rPr>
        <w:t>The perspective of PA 10, 2014+</w:t>
      </w:r>
    </w:p>
    <w:p w:rsidR="00953C87" w:rsidRPr="00953C87" w:rsidRDefault="00953C87" w:rsidP="00953C87">
      <w:pPr>
        <w:spacing w:before="60" w:after="140"/>
        <w:jc w:val="both"/>
        <w:rPr>
          <w:rFonts w:ascii="Times New Roman" w:eastAsia="Times New Roman" w:hAnsi="Times New Roman"/>
          <w:sz w:val="22"/>
          <w:szCs w:val="22"/>
          <w:lang w:val="en-GB" w:eastAsia="de-DE"/>
        </w:rPr>
      </w:pPr>
    </w:p>
    <w:p w:rsidR="00953C87" w:rsidRPr="00953C87" w:rsidRDefault="00953C87" w:rsidP="00953C87">
      <w:pPr>
        <w:spacing w:before="60" w:after="140"/>
        <w:jc w:val="both"/>
        <w:rPr>
          <w:rFonts w:ascii="Times New Roman" w:eastAsia="Times New Roman" w:hAnsi="Times New Roman"/>
          <w:i/>
          <w:sz w:val="22"/>
          <w:szCs w:val="22"/>
          <w:lang w:val="en-GB" w:eastAsia="de-DE"/>
        </w:rPr>
      </w:pPr>
      <w:r w:rsidRPr="00953C87">
        <w:rPr>
          <w:rFonts w:ascii="Times New Roman" w:eastAsia="Times New Roman" w:hAnsi="Times New Roman"/>
          <w:sz w:val="22"/>
          <w:szCs w:val="22"/>
          <w:lang w:val="en-GB" w:eastAsia="de-DE"/>
        </w:rPr>
        <w:t xml:space="preserve">The overall process of reorientation of the work of the PA 10 SG, which we started in 2012, can be continued without basic change, but under better framework-conditions, because of many preparatory activities of PAC 10 and a clarified position of the EC concerning the role of PACs and will still follow the </w:t>
      </w:r>
      <w:r w:rsidRPr="00953C87">
        <w:rPr>
          <w:rFonts w:ascii="Times New Roman" w:eastAsia="Times New Roman" w:hAnsi="Times New Roman"/>
          <w:i/>
          <w:sz w:val="22"/>
          <w:szCs w:val="22"/>
          <w:lang w:val="en-GB" w:eastAsia="de-DE"/>
        </w:rPr>
        <w:t>List of Actions.</w:t>
      </w:r>
    </w:p>
    <w:p w:rsidR="00953C87" w:rsidRPr="00953C87" w:rsidRDefault="00953C87" w:rsidP="00953C87">
      <w:pPr>
        <w:spacing w:before="60" w:after="140"/>
        <w:jc w:val="both"/>
        <w:rPr>
          <w:rFonts w:ascii="Times New Roman" w:eastAsia="Times New Roman" w:hAnsi="Times New Roman"/>
          <w:sz w:val="22"/>
          <w:szCs w:val="22"/>
          <w:lang w:val="en-GB" w:eastAsia="de-DE"/>
        </w:rPr>
      </w:pPr>
    </w:p>
    <w:p w:rsidR="00953C87" w:rsidRPr="00953C87" w:rsidRDefault="00953C87" w:rsidP="00953C87">
      <w:pPr>
        <w:numPr>
          <w:ilvl w:val="0"/>
          <w:numId w:val="19"/>
        </w:numPr>
        <w:spacing w:before="60" w:after="140" w:line="276" w:lineRule="auto"/>
        <w:contextualSpacing/>
        <w:jc w:val="both"/>
        <w:rPr>
          <w:rFonts w:ascii="Times New Roman" w:eastAsia="Calibri" w:hAnsi="Times New Roman"/>
          <w:b/>
          <w:sz w:val="22"/>
          <w:szCs w:val="22"/>
          <w:lang w:val="en-GB"/>
        </w:rPr>
      </w:pPr>
      <w:r w:rsidRPr="00953C87">
        <w:rPr>
          <w:rFonts w:ascii="Times New Roman" w:eastAsia="Calibri" w:hAnsi="Times New Roman"/>
          <w:b/>
          <w:sz w:val="22"/>
          <w:szCs w:val="22"/>
          <w:lang w:val="en-GB"/>
        </w:rPr>
        <w:t>To combat institutional capacity and public service related problems</w:t>
      </w:r>
    </w:p>
    <w:p w:rsidR="00953C87" w:rsidRPr="00953C87" w:rsidRDefault="00953C87" w:rsidP="00953C87">
      <w:pPr>
        <w:spacing w:before="60" w:after="140"/>
        <w:ind w:left="720"/>
        <w:contextualSpacing/>
        <w:jc w:val="both"/>
        <w:rPr>
          <w:rFonts w:ascii="Times New Roman" w:eastAsia="Calibri" w:hAnsi="Times New Roman"/>
          <w:b/>
          <w:color w:val="1F497D"/>
          <w:sz w:val="22"/>
          <w:szCs w:val="22"/>
          <w:lang w:val="en-GB"/>
        </w:rPr>
      </w:pPr>
    </w:p>
    <w:p w:rsidR="00953C87" w:rsidRPr="00953C87" w:rsidRDefault="00953C87" w:rsidP="00953C87">
      <w:pPr>
        <w:jc w:val="both"/>
        <w:rPr>
          <w:rFonts w:ascii="Times New Roman" w:eastAsia="Calibri" w:hAnsi="Times New Roman"/>
          <w:sz w:val="22"/>
          <w:szCs w:val="22"/>
          <w:lang w:val="sl-SI"/>
        </w:rPr>
      </w:pPr>
      <w:r w:rsidRPr="00953C87">
        <w:rPr>
          <w:rFonts w:ascii="Times New Roman" w:eastAsia="Times New Roman" w:hAnsi="Times New Roman"/>
          <w:sz w:val="22"/>
          <w:szCs w:val="22"/>
          <w:lang w:val="en-GB" w:eastAsia="de-DE"/>
        </w:rPr>
        <w:t xml:space="preserve">Improving the quality of public services and administrative procedures, of skills, competence and motivation of staff in the public sector, as well as the improving of the quality of legislation aim at an internal reform program of the political administrative system, aimed at the implementation of “New Public Management” tools. </w:t>
      </w:r>
      <w:r w:rsidRPr="00953C87">
        <w:rPr>
          <w:rFonts w:ascii="Times New Roman" w:eastAsia="Calibri" w:hAnsi="Times New Roman"/>
          <w:sz w:val="22"/>
          <w:szCs w:val="22"/>
          <w:lang w:val="en-GB"/>
        </w:rPr>
        <w:t xml:space="preserve">With times changing, the New Public Management does not any more reflect the needs that administrations face in the capacity development and change management sense. The New Public Management has moved to so-called Dynamic Governance approaches where </w:t>
      </w:r>
      <w:r w:rsidRPr="00953C87">
        <w:rPr>
          <w:rFonts w:ascii="Times New Roman" w:eastAsia="Calibri" w:hAnsi="Times New Roman"/>
          <w:sz w:val="22"/>
          <w:szCs w:val="22"/>
          <w:lang w:val="en-US"/>
        </w:rPr>
        <w:t xml:space="preserve">compliance, performance, resilience and adaptability of the public administration and its processes are taken into the account. Focus is shifting from only internal to both </w:t>
      </w:r>
      <w:r w:rsidRPr="00953C87">
        <w:rPr>
          <w:rFonts w:ascii="Times New Roman" w:eastAsia="Calibri" w:hAnsi="Times New Roman"/>
          <w:b/>
          <w:sz w:val="22"/>
          <w:szCs w:val="22"/>
          <w:lang w:val="en-US"/>
        </w:rPr>
        <w:t>internal and external</w:t>
      </w:r>
      <w:r w:rsidRPr="00953C87">
        <w:rPr>
          <w:rFonts w:ascii="Times New Roman" w:eastAsia="Calibri" w:hAnsi="Times New Roman"/>
          <w:sz w:val="22"/>
          <w:szCs w:val="22"/>
          <w:lang w:val="en-US"/>
        </w:rPr>
        <w:t xml:space="preserve"> and to the principle of </w:t>
      </w:r>
      <w:r w:rsidRPr="00953C87">
        <w:rPr>
          <w:rFonts w:ascii="Times New Roman" w:eastAsia="Calibri" w:hAnsi="Times New Roman"/>
          <w:b/>
          <w:sz w:val="22"/>
          <w:szCs w:val="22"/>
          <w:u w:val="single"/>
          <w:lang w:val="en-US"/>
        </w:rPr>
        <w:t>collaboration</w:t>
      </w:r>
      <w:r w:rsidRPr="00953C87">
        <w:rPr>
          <w:rFonts w:ascii="Times New Roman" w:eastAsia="Calibri" w:hAnsi="Times New Roman"/>
          <w:sz w:val="22"/>
          <w:szCs w:val="22"/>
          <w:u w:val="single"/>
          <w:lang w:val="en-US"/>
        </w:rPr>
        <w:t xml:space="preserve"> which is imbedded in the</w:t>
      </w:r>
      <w:r w:rsidRPr="00953C87">
        <w:rPr>
          <w:rFonts w:ascii="Times New Roman" w:eastAsia="Calibri" w:hAnsi="Times New Roman"/>
          <w:sz w:val="22"/>
          <w:szCs w:val="22"/>
          <w:lang w:val="en-US"/>
        </w:rPr>
        <w:t xml:space="preserve"> EUSDR implementation and initiatives.</w:t>
      </w:r>
    </w:p>
    <w:p w:rsidR="00953C87" w:rsidRPr="00953C87" w:rsidRDefault="00953C87" w:rsidP="00953C87">
      <w:pPr>
        <w:spacing w:before="60" w:after="140"/>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 xml:space="preserve">To initiate such a </w:t>
      </w:r>
      <w:r w:rsidRPr="00953C87">
        <w:rPr>
          <w:rFonts w:ascii="Times New Roman" w:eastAsia="Times New Roman" w:hAnsi="Times New Roman"/>
          <w:b/>
          <w:sz w:val="22"/>
          <w:szCs w:val="22"/>
          <w:lang w:val="en-GB" w:eastAsia="de-DE"/>
        </w:rPr>
        <w:t>top-down reform</w:t>
      </w:r>
      <w:r w:rsidRPr="00953C87">
        <w:rPr>
          <w:rFonts w:ascii="Times New Roman" w:eastAsia="Times New Roman" w:hAnsi="Times New Roman"/>
          <w:sz w:val="22"/>
          <w:szCs w:val="22"/>
          <w:lang w:val="en-GB" w:eastAsia="de-DE"/>
        </w:rPr>
        <w:t xml:space="preserve"> a government decision is normally needed. The goal of such reform should also be to make public service jobs valued, respected and appropriately rewarded in order to attract quality people that will be a pillar of quality public service. Implementation needs transparent efficiency, oriented targets and its relation to career-options and salaries as well as a service and qualifying program for the staff to cope with the changes. Complementary to that, a social security program should be established for those persons who will not be part of the game in the future. Neither a measure nor a project positioned on a level which implies such a reform </w:t>
      </w:r>
      <w:r w:rsidRPr="00953C87">
        <w:rPr>
          <w:rFonts w:ascii="Times New Roman" w:eastAsia="Times New Roman" w:hAnsi="Times New Roman"/>
          <w:sz w:val="22"/>
          <w:szCs w:val="22"/>
          <w:lang w:val="en-GB" w:eastAsia="de-DE"/>
        </w:rPr>
        <w:lastRenderedPageBreak/>
        <w:t>could be managed or evolved by a bottom up procedure has any chance of sustainability; on the contrary it leaves frustration and demotivation of the staff.</w:t>
      </w:r>
    </w:p>
    <w:p w:rsidR="00953C87" w:rsidRPr="00953C87" w:rsidRDefault="00953C87" w:rsidP="00953C87">
      <w:pPr>
        <w:spacing w:before="60" w:after="140"/>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 xml:space="preserve">An </w:t>
      </w:r>
      <w:r w:rsidRPr="00953C87">
        <w:rPr>
          <w:rFonts w:ascii="Times New Roman" w:eastAsia="Times New Roman" w:hAnsi="Times New Roman"/>
          <w:b/>
          <w:sz w:val="22"/>
          <w:szCs w:val="22"/>
          <w:lang w:val="en-GB" w:eastAsia="de-DE"/>
        </w:rPr>
        <w:t>analysis</w:t>
      </w:r>
      <w:r w:rsidRPr="00953C87">
        <w:rPr>
          <w:rFonts w:ascii="Times New Roman" w:eastAsia="Times New Roman" w:hAnsi="Times New Roman"/>
          <w:sz w:val="22"/>
          <w:szCs w:val="22"/>
          <w:lang w:val="en-GB" w:eastAsia="de-DE"/>
        </w:rPr>
        <w:t xml:space="preserve"> is needed showing the weaknesses of administrative procedures and the obstacles against the implementation of Dynamic Governance tools in the respective countries. Often these obstacles are not technical ones, but pure political, which again stresses the importance not to ignore those stakeholder positions any longer. Such analysis will be used as a basis for improvement of the Action Plan and the design of further actions and necessary political communication. Existing analyses and findings (by Regional Cooperation Council - RCC and Regional School of Public Administration – ReSPA) will be taken into account.</w:t>
      </w:r>
    </w:p>
    <w:p w:rsidR="00953C87" w:rsidRPr="00953C87" w:rsidRDefault="00953C87" w:rsidP="00953C87">
      <w:pPr>
        <w:spacing w:before="60" w:after="140"/>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Jointly with the CIVEX unit of the CoR, PA10 intends to hold a Local Administration Facility (LAF) meeting on anti-corruption back-to-back with the 4</w:t>
      </w:r>
      <w:r w:rsidRPr="00953C87">
        <w:rPr>
          <w:rFonts w:ascii="Times New Roman" w:eastAsia="Times New Roman" w:hAnsi="Times New Roman"/>
          <w:sz w:val="22"/>
          <w:szCs w:val="22"/>
          <w:vertAlign w:val="superscript"/>
          <w:lang w:val="en-GB" w:eastAsia="de-DE"/>
        </w:rPr>
        <w:t>th</w:t>
      </w:r>
      <w:r w:rsidRPr="00953C87">
        <w:rPr>
          <w:rFonts w:ascii="Times New Roman" w:eastAsia="Times New Roman" w:hAnsi="Times New Roman"/>
          <w:sz w:val="22"/>
          <w:szCs w:val="22"/>
          <w:lang w:val="en-GB" w:eastAsia="de-DE"/>
        </w:rPr>
        <w:t xml:space="preserve"> Annual Forum of the EUSDR to be held in Baden-Württemberg in 2015.</w:t>
      </w:r>
    </w:p>
    <w:p w:rsidR="00953C87" w:rsidRPr="00953C87" w:rsidRDefault="00953C87" w:rsidP="00953C87">
      <w:pPr>
        <w:spacing w:before="60" w:after="140"/>
        <w:jc w:val="both"/>
        <w:rPr>
          <w:rFonts w:ascii="Times New Roman" w:eastAsia="Times New Roman" w:hAnsi="Times New Roman"/>
          <w:sz w:val="22"/>
          <w:szCs w:val="22"/>
          <w:lang w:val="en-GB" w:eastAsia="de-DE"/>
        </w:rPr>
      </w:pPr>
    </w:p>
    <w:p w:rsidR="00953C87" w:rsidRPr="00953C87" w:rsidRDefault="00953C87" w:rsidP="00953C87">
      <w:pPr>
        <w:spacing w:before="60" w:after="140"/>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 xml:space="preserve">Apart from ongoing initiatives of the national academies of public administrations and similar institutions, in 2014 and beyond, the focus will be also on capacity issues of the local government. As part of the stakeholder conference in Eisenstadt (24-25 June) in collaboration with PA9 and International Organization on Migration, a workshop on migration management on local level will be organized. </w:t>
      </w:r>
    </w:p>
    <w:p w:rsidR="00953C87" w:rsidRPr="00953C87" w:rsidRDefault="00953C87" w:rsidP="00953C87">
      <w:pPr>
        <w:spacing w:before="60" w:after="140"/>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At the 3</w:t>
      </w:r>
      <w:r w:rsidRPr="00953C87">
        <w:rPr>
          <w:rFonts w:ascii="Times New Roman" w:eastAsia="Times New Roman" w:hAnsi="Times New Roman"/>
          <w:sz w:val="22"/>
          <w:szCs w:val="22"/>
          <w:vertAlign w:val="superscript"/>
          <w:lang w:val="en-GB" w:eastAsia="de-DE"/>
        </w:rPr>
        <w:t>rd</w:t>
      </w:r>
      <w:r w:rsidRPr="00953C87">
        <w:rPr>
          <w:rFonts w:ascii="Times New Roman" w:eastAsia="Times New Roman" w:hAnsi="Times New Roman"/>
          <w:sz w:val="22"/>
          <w:szCs w:val="22"/>
          <w:lang w:val="en-GB" w:eastAsia="de-DE"/>
        </w:rPr>
        <w:t xml:space="preserve"> Annual EUSDR Forum, PA10 initiatives on increasing capacities on national and local levels will be presented in the forum of Danube Cosmos. </w:t>
      </w:r>
    </w:p>
    <w:p w:rsidR="00953C87" w:rsidRPr="00953C87" w:rsidRDefault="00953C87" w:rsidP="00953C87">
      <w:pPr>
        <w:spacing w:before="60" w:after="140"/>
        <w:jc w:val="both"/>
        <w:rPr>
          <w:rFonts w:ascii="Times New Roman" w:eastAsia="Times New Roman" w:hAnsi="Times New Roman"/>
          <w:sz w:val="22"/>
          <w:szCs w:val="22"/>
          <w:lang w:val="en-GB" w:eastAsia="de-DE"/>
        </w:rPr>
      </w:pPr>
      <w:r w:rsidRPr="00953C87">
        <w:rPr>
          <w:rFonts w:ascii="Times New Roman" w:eastAsia="Calibri" w:hAnsi="Times New Roman"/>
          <w:sz w:val="22"/>
          <w:szCs w:val="22"/>
          <w:lang w:val="en-US"/>
        </w:rPr>
        <w:t>An effort is also being put to implement a high-level policy dialogue or event focusing on the challenges of the public administration in the Danube region. This will take place as a part of Annual Public Administration days in September 2014.</w:t>
      </w:r>
    </w:p>
    <w:p w:rsidR="00953C87" w:rsidRPr="00953C87" w:rsidRDefault="00953C87" w:rsidP="00953C87">
      <w:pPr>
        <w:spacing w:before="60" w:after="140"/>
        <w:jc w:val="both"/>
        <w:rPr>
          <w:rFonts w:ascii="Times New Roman" w:eastAsia="Times New Roman" w:hAnsi="Times New Roman"/>
          <w:i/>
          <w:sz w:val="22"/>
          <w:szCs w:val="22"/>
          <w:lang w:val="en-GB" w:eastAsia="de-DE"/>
        </w:rPr>
      </w:pPr>
    </w:p>
    <w:p w:rsidR="00953C87" w:rsidRPr="00953C87" w:rsidRDefault="00953C87" w:rsidP="00953C87">
      <w:pPr>
        <w:numPr>
          <w:ilvl w:val="0"/>
          <w:numId w:val="19"/>
        </w:numPr>
        <w:spacing w:before="60" w:after="140" w:line="276" w:lineRule="auto"/>
        <w:contextualSpacing/>
        <w:jc w:val="both"/>
        <w:rPr>
          <w:rFonts w:ascii="Times New Roman" w:eastAsia="Calibri" w:hAnsi="Times New Roman"/>
          <w:b/>
          <w:sz w:val="22"/>
          <w:szCs w:val="22"/>
          <w:lang w:val="en-GB"/>
        </w:rPr>
      </w:pPr>
      <w:r w:rsidRPr="00953C87">
        <w:rPr>
          <w:rFonts w:ascii="Times New Roman" w:eastAsia="Calibri" w:hAnsi="Times New Roman"/>
          <w:b/>
          <w:sz w:val="22"/>
          <w:szCs w:val="22"/>
          <w:lang w:val="en-GB"/>
        </w:rPr>
        <w:t>To improve the trust of citizens and stakeholders in political authorities</w:t>
      </w:r>
    </w:p>
    <w:p w:rsidR="00953C87" w:rsidRPr="00953C87" w:rsidRDefault="00953C87" w:rsidP="00953C87">
      <w:pPr>
        <w:numPr>
          <w:ilvl w:val="0"/>
          <w:numId w:val="19"/>
        </w:numPr>
        <w:spacing w:before="60" w:after="140" w:line="220" w:lineRule="atLeast"/>
        <w:contextualSpacing/>
        <w:jc w:val="both"/>
        <w:rPr>
          <w:rFonts w:ascii="Times New Roman" w:eastAsia="Calibri" w:hAnsi="Times New Roman"/>
          <w:b/>
          <w:sz w:val="22"/>
          <w:szCs w:val="22"/>
          <w:lang w:val="en-GB"/>
        </w:rPr>
      </w:pPr>
      <w:r w:rsidRPr="00953C87">
        <w:rPr>
          <w:rFonts w:ascii="Times New Roman" w:eastAsia="Calibri" w:hAnsi="Times New Roman"/>
          <w:b/>
          <w:sz w:val="22"/>
          <w:szCs w:val="22"/>
          <w:lang w:val="en-GB"/>
        </w:rPr>
        <w:t>To ensure sufficient information flow and exchange at all levels</w:t>
      </w:r>
    </w:p>
    <w:p w:rsidR="00953C87" w:rsidRPr="00953C87" w:rsidRDefault="00953C87" w:rsidP="00953C87">
      <w:pPr>
        <w:spacing w:before="60" w:after="140" w:line="220" w:lineRule="atLeast"/>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Strengthening the positive relation between voters and elected politicians is not possible without an open political debate. An open political debate is possible, if both parties have enough information. Transparency and Open Government are the keywords.</w:t>
      </w:r>
    </w:p>
    <w:p w:rsidR="00953C87" w:rsidRPr="00953C87" w:rsidRDefault="00953C87" w:rsidP="00953C87">
      <w:pPr>
        <w:spacing w:before="60" w:after="140" w:line="220" w:lineRule="atLeast"/>
        <w:jc w:val="both"/>
        <w:rPr>
          <w:rFonts w:ascii="Times New Roman" w:eastAsia="Times New Roman" w:hAnsi="Times New Roman"/>
          <w:i/>
          <w:sz w:val="22"/>
          <w:szCs w:val="22"/>
          <w:lang w:val="en-GB" w:eastAsia="de-DE"/>
        </w:rPr>
      </w:pPr>
      <w:r w:rsidRPr="00953C87">
        <w:rPr>
          <w:rFonts w:ascii="Times New Roman" w:eastAsia="Times New Roman" w:hAnsi="Times New Roman"/>
          <w:i/>
          <w:sz w:val="22"/>
          <w:szCs w:val="22"/>
          <w:lang w:val="en-GB" w:eastAsia="de-DE"/>
        </w:rPr>
        <w:t>PA10, in the context of its role as a facilitator for capacity building and the integration of Civil Society in the Member States of the Danube Strategy, would like to support the introduction of Help.gv as a case study in the EU Member States of the Danube region; communication, integration, transparency, are core concepts of better government on both, national and local levels. However, Help.gv. is a classical top-down project, which can only work with strong political and administrative endorsement and adequate resources, both financial and human. (</w:t>
      </w:r>
      <w:hyperlink r:id="rId8" w:history="1">
        <w:r w:rsidRPr="00953C87">
          <w:rPr>
            <w:rFonts w:ascii="Times New Roman" w:eastAsia="Times New Roman" w:hAnsi="Times New Roman"/>
            <w:i/>
            <w:color w:val="0000FF"/>
            <w:sz w:val="22"/>
            <w:szCs w:val="22"/>
            <w:u w:val="single"/>
            <w:lang w:val="en-GB" w:eastAsia="de-DE"/>
          </w:rPr>
          <w:t>www.help.gv.at</w:t>
        </w:r>
      </w:hyperlink>
      <w:r w:rsidRPr="00953C87">
        <w:rPr>
          <w:rFonts w:ascii="Times New Roman" w:eastAsia="Times New Roman" w:hAnsi="Times New Roman"/>
          <w:i/>
          <w:sz w:val="22"/>
          <w:szCs w:val="22"/>
          <w:lang w:val="en-GB" w:eastAsia="de-DE"/>
        </w:rPr>
        <w:t xml:space="preserve"> ). A stakeholder meeting in fall 2014 is under preparation.</w:t>
      </w:r>
    </w:p>
    <w:p w:rsidR="00953C87" w:rsidRPr="00953C87" w:rsidRDefault="00953C87" w:rsidP="00953C87">
      <w:pPr>
        <w:numPr>
          <w:ilvl w:val="0"/>
          <w:numId w:val="19"/>
        </w:numPr>
        <w:spacing w:before="60" w:after="140" w:line="220" w:lineRule="atLeast"/>
        <w:contextualSpacing/>
        <w:jc w:val="both"/>
        <w:rPr>
          <w:rFonts w:ascii="Times New Roman" w:eastAsia="Times New Roman" w:hAnsi="Times New Roman"/>
          <w:b/>
          <w:sz w:val="22"/>
          <w:szCs w:val="22"/>
          <w:lang w:val="en-GB" w:eastAsia="de-DE"/>
        </w:rPr>
      </w:pPr>
      <w:r w:rsidRPr="00953C87">
        <w:rPr>
          <w:rFonts w:ascii="Times New Roman" w:eastAsia="Times New Roman" w:hAnsi="Times New Roman"/>
          <w:b/>
          <w:sz w:val="22"/>
          <w:szCs w:val="22"/>
          <w:lang w:val="en-GB" w:eastAsia="de-DE"/>
        </w:rPr>
        <w:t>To establish a Danube Civil Society Forum</w:t>
      </w:r>
    </w:p>
    <w:p w:rsidR="00953C87" w:rsidRPr="00953C87" w:rsidRDefault="00953C87" w:rsidP="00953C87">
      <w:pPr>
        <w:spacing w:before="60" w:after="140" w:line="220" w:lineRule="atLeast"/>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The Danube Civil Society Platform covers this Action. Moreover, the creation of a Civil Society Platform is under way. The visible start of the Danube Civil Society Platform will take place in Eisenstadt on 25 June 2014 during the “Participation Day” (PA 9 and PA 10). Participation of Civil Society was also highlighted in the Council Conclusions on the added value of MRS of 22 October 2013 (upon Austrian initiative) and in the non-paper on the governance of MRS of the Commission (February 2014). Civil Society Involvement should provide:</w:t>
      </w:r>
    </w:p>
    <w:p w:rsidR="00953C87" w:rsidRPr="00953C87" w:rsidRDefault="00953C87" w:rsidP="00953C87">
      <w:pPr>
        <w:numPr>
          <w:ilvl w:val="0"/>
          <w:numId w:val="23"/>
        </w:numPr>
        <w:spacing w:before="60" w:after="140" w:line="220" w:lineRule="atLeast"/>
        <w:contextualSpacing/>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Increased ownership of the EUSDR</w:t>
      </w:r>
    </w:p>
    <w:p w:rsidR="00953C87" w:rsidRPr="00953C87" w:rsidRDefault="00953C87" w:rsidP="00953C87">
      <w:pPr>
        <w:numPr>
          <w:ilvl w:val="0"/>
          <w:numId w:val="23"/>
        </w:numPr>
        <w:spacing w:before="60" w:after="140" w:line="220" w:lineRule="atLeast"/>
        <w:contextualSpacing/>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Increased transparency and participation within the EUSDR</w:t>
      </w:r>
    </w:p>
    <w:p w:rsidR="00953C87" w:rsidRPr="00953C87" w:rsidRDefault="00953C87" w:rsidP="00953C87">
      <w:pPr>
        <w:numPr>
          <w:ilvl w:val="0"/>
          <w:numId w:val="23"/>
        </w:numPr>
        <w:spacing w:before="60" w:after="140" w:line="220" w:lineRule="atLeast"/>
        <w:contextualSpacing/>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Closer link to academic institutions (role of universities in MRS should be strengthened)</w:t>
      </w:r>
    </w:p>
    <w:p w:rsidR="00953C87" w:rsidRPr="00953C87" w:rsidRDefault="00953C87" w:rsidP="00953C87">
      <w:pPr>
        <w:numPr>
          <w:ilvl w:val="0"/>
          <w:numId w:val="23"/>
        </w:numPr>
        <w:spacing w:before="60" w:after="140" w:line="220" w:lineRule="atLeast"/>
        <w:contextualSpacing/>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Participation of NGOs, entrepreneurs and employees</w:t>
      </w:r>
    </w:p>
    <w:p w:rsidR="00953C87" w:rsidRPr="00953C87" w:rsidRDefault="00953C87" w:rsidP="00953C87">
      <w:pPr>
        <w:spacing w:before="60" w:after="140" w:line="220" w:lineRule="atLeast"/>
        <w:ind w:left="1068"/>
        <w:contextualSpacing/>
        <w:jc w:val="both"/>
        <w:rPr>
          <w:rFonts w:ascii="Times New Roman" w:eastAsia="Times New Roman" w:hAnsi="Times New Roman"/>
          <w:color w:val="E36C0A"/>
          <w:sz w:val="22"/>
          <w:szCs w:val="22"/>
          <w:lang w:val="en-GB" w:eastAsia="de-DE"/>
        </w:rPr>
      </w:pPr>
    </w:p>
    <w:p w:rsidR="00953C87" w:rsidRPr="00953C87" w:rsidRDefault="00953C87" w:rsidP="00953C87">
      <w:pPr>
        <w:numPr>
          <w:ilvl w:val="0"/>
          <w:numId w:val="19"/>
        </w:numPr>
        <w:spacing w:before="60" w:after="140" w:line="276" w:lineRule="auto"/>
        <w:contextualSpacing/>
        <w:jc w:val="both"/>
        <w:rPr>
          <w:rFonts w:ascii="Times New Roman" w:eastAsia="Calibri" w:hAnsi="Times New Roman"/>
          <w:b/>
          <w:sz w:val="22"/>
          <w:szCs w:val="22"/>
          <w:lang w:val="en-GB"/>
        </w:rPr>
      </w:pPr>
      <w:r w:rsidRPr="00953C87">
        <w:rPr>
          <w:rFonts w:ascii="Times New Roman" w:eastAsia="Calibri" w:hAnsi="Times New Roman"/>
          <w:b/>
          <w:sz w:val="22"/>
          <w:szCs w:val="22"/>
          <w:lang w:val="en-GB"/>
        </w:rPr>
        <w:lastRenderedPageBreak/>
        <w:t>To facilitate the administrative cooperation of communities living in border regions</w:t>
      </w:r>
    </w:p>
    <w:p w:rsidR="00953C87" w:rsidRPr="00953C87" w:rsidRDefault="00953C87" w:rsidP="00953C87">
      <w:pPr>
        <w:spacing w:before="60" w:after="140"/>
        <w:ind w:left="720"/>
        <w:contextualSpacing/>
        <w:jc w:val="both"/>
        <w:rPr>
          <w:rFonts w:ascii="Times New Roman" w:eastAsia="Calibri" w:hAnsi="Times New Roman"/>
          <w:b/>
          <w:sz w:val="22"/>
          <w:szCs w:val="22"/>
          <w:lang w:val="en-GB"/>
        </w:rPr>
      </w:pPr>
    </w:p>
    <w:p w:rsidR="00953C87" w:rsidRPr="00953C87" w:rsidRDefault="00953C87" w:rsidP="00953C87">
      <w:pPr>
        <w:spacing w:before="60" w:after="140" w:line="220" w:lineRule="atLeast"/>
        <w:jc w:val="both"/>
        <w:rPr>
          <w:rFonts w:ascii="Times New Roman" w:eastAsia="Times New Roman" w:hAnsi="Times New Roman"/>
          <w:sz w:val="22"/>
          <w:szCs w:val="22"/>
          <w:lang w:val="en-GB" w:eastAsia="de-DE"/>
        </w:rPr>
      </w:pPr>
      <w:r w:rsidRPr="00953C87">
        <w:rPr>
          <w:rFonts w:ascii="Times New Roman" w:eastAsia="Times New Roman" w:hAnsi="Times New Roman"/>
          <w:i/>
          <w:sz w:val="22"/>
          <w:szCs w:val="22"/>
          <w:lang w:val="en-GB" w:eastAsia="de-DE"/>
        </w:rPr>
        <w:t xml:space="preserve">The implementation of this Action can start now, because the necessary structures are already built </w:t>
      </w:r>
      <w:r w:rsidRPr="00953C87">
        <w:rPr>
          <w:rFonts w:ascii="Times New Roman" w:eastAsia="Times New Roman" w:hAnsi="Times New Roman"/>
          <w:sz w:val="22"/>
          <w:szCs w:val="22"/>
          <w:lang w:val="en-GB" w:eastAsia="de-DE"/>
        </w:rPr>
        <w:t>(CoDCR) or under construction (UPDR).</w:t>
      </w:r>
    </w:p>
    <w:p w:rsidR="00953C87" w:rsidRPr="00953C87" w:rsidRDefault="00953C87" w:rsidP="00953C87">
      <w:pPr>
        <w:spacing w:before="60" w:after="140" w:line="220" w:lineRule="atLeast"/>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The experiences of CENTROPE will be used. We know, based on our CENTROPE experiences, that at least two things are possible:</w:t>
      </w:r>
    </w:p>
    <w:p w:rsidR="00953C87" w:rsidRPr="00953C87" w:rsidRDefault="00953C87" w:rsidP="00953C87">
      <w:pPr>
        <w:tabs>
          <w:tab w:val="left" w:pos="567"/>
          <w:tab w:val="num" w:pos="644"/>
        </w:tabs>
        <w:spacing w:before="60" w:after="0" w:line="220" w:lineRule="atLeast"/>
        <w:ind w:left="568" w:hanging="284"/>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 actions with a positive, harmonising impact at the framework-conditions for projects of the civil society and the business world, as far as there is formal competence available, and</w:t>
      </w:r>
    </w:p>
    <w:p w:rsidR="00953C87" w:rsidRPr="00953C87" w:rsidRDefault="00953C87" w:rsidP="00953C87">
      <w:pPr>
        <w:tabs>
          <w:tab w:val="left" w:pos="567"/>
          <w:tab w:val="num" w:pos="644"/>
        </w:tabs>
        <w:spacing w:before="60" w:after="140" w:line="220" w:lineRule="atLeast"/>
        <w:ind w:left="568" w:hanging="284"/>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 offering services, which can support and motivate national stakeholders, the business sector and the civil society to cooperate in reaching public goals, trying to facilitate a series of win-win situations.</w:t>
      </w:r>
    </w:p>
    <w:p w:rsidR="00953C87" w:rsidRPr="00953C87" w:rsidRDefault="00953C87" w:rsidP="00953C87">
      <w:pPr>
        <w:spacing w:before="60" w:after="140" w:line="220" w:lineRule="atLeast"/>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Experience shows, that the orientation at the development of a governance structure to manage a regional cooperation process including public and non-public elements is one of the main lessons learned and needs in parallel the development of a correct, but also relaxed and robust relation between public authorities and the market, or the civil society. This Action will be an issue at the Danube Civil Society Platform as well as at the Urban Platform Danube Region. Main funding source for action in this field could be CBC programmes of the ERDF (goal 3 ETC); there are more than 20 CBC programmes in the Danube Region and the EUSDR was already considered in the programmes BG-RO as well as in the IPA-CBC RO-RS.</w:t>
      </w:r>
    </w:p>
    <w:p w:rsidR="00953C87" w:rsidRPr="00953C87" w:rsidRDefault="00953C87" w:rsidP="00953C87">
      <w:pPr>
        <w:spacing w:before="60" w:after="140" w:line="220" w:lineRule="atLeast"/>
        <w:jc w:val="both"/>
        <w:rPr>
          <w:rFonts w:ascii="Times New Roman" w:eastAsia="Times New Roman" w:hAnsi="Times New Roman"/>
          <w:i/>
          <w:color w:val="E36C0A"/>
          <w:sz w:val="22"/>
          <w:szCs w:val="22"/>
          <w:lang w:val="en-GB" w:eastAsia="de-DE"/>
        </w:rPr>
      </w:pPr>
    </w:p>
    <w:p w:rsidR="00953C87" w:rsidRPr="00953C87" w:rsidRDefault="00953C87" w:rsidP="00953C87">
      <w:pPr>
        <w:numPr>
          <w:ilvl w:val="0"/>
          <w:numId w:val="19"/>
        </w:numPr>
        <w:spacing w:before="60" w:after="140" w:line="276" w:lineRule="auto"/>
        <w:contextualSpacing/>
        <w:jc w:val="both"/>
        <w:rPr>
          <w:rFonts w:ascii="Times New Roman" w:eastAsia="Calibri" w:hAnsi="Times New Roman"/>
          <w:b/>
          <w:sz w:val="22"/>
          <w:szCs w:val="22"/>
          <w:lang w:val="en-GB"/>
        </w:rPr>
      </w:pPr>
      <w:r w:rsidRPr="00953C87">
        <w:rPr>
          <w:rFonts w:ascii="Times New Roman" w:eastAsia="Calibri" w:hAnsi="Times New Roman"/>
          <w:b/>
          <w:sz w:val="22"/>
          <w:szCs w:val="22"/>
          <w:lang w:val="en-GB"/>
        </w:rPr>
        <w:t>To build Metropolitan Regions in the Danube Region</w:t>
      </w:r>
    </w:p>
    <w:p w:rsidR="00953C87" w:rsidRPr="00953C87" w:rsidRDefault="00953C87" w:rsidP="00953C87">
      <w:pPr>
        <w:spacing w:before="60" w:after="140"/>
        <w:ind w:left="720"/>
        <w:contextualSpacing/>
        <w:jc w:val="both"/>
        <w:rPr>
          <w:rFonts w:ascii="Times New Roman" w:eastAsia="Calibri" w:hAnsi="Times New Roman"/>
          <w:b/>
          <w:sz w:val="22"/>
          <w:szCs w:val="22"/>
          <w:lang w:val="en-GB"/>
        </w:rPr>
      </w:pPr>
    </w:p>
    <w:p w:rsidR="00953C87" w:rsidRPr="00953C87" w:rsidRDefault="00953C87" w:rsidP="00953C87">
      <w:pPr>
        <w:spacing w:before="60" w:after="140" w:line="220" w:lineRule="atLeast"/>
        <w:jc w:val="both"/>
        <w:rPr>
          <w:rFonts w:ascii="Times New Roman" w:eastAsia="Times New Roman" w:hAnsi="Times New Roman"/>
          <w:color w:val="5F5F5F"/>
          <w:sz w:val="22"/>
          <w:szCs w:val="22"/>
          <w:lang w:val="en-GB" w:eastAsia="de-DE"/>
        </w:rPr>
      </w:pPr>
      <w:r w:rsidRPr="00953C87">
        <w:rPr>
          <w:rFonts w:ascii="Times New Roman" w:eastAsia="Times New Roman" w:hAnsi="Times New Roman"/>
          <w:sz w:val="22"/>
          <w:szCs w:val="22"/>
          <w:lang w:val="en-GB" w:eastAsia="de-DE"/>
        </w:rPr>
        <w:t>This Action should be covered by the activities of the Urban Platform Danube Region (UPDR). The Action will be discussed at this level with the relevant stakeholders and a “thematic leader” should be identified.</w:t>
      </w:r>
    </w:p>
    <w:p w:rsidR="00953C87" w:rsidRPr="00953C87" w:rsidRDefault="00953C87" w:rsidP="00953C87">
      <w:pPr>
        <w:spacing w:before="60" w:after="140" w:line="220" w:lineRule="atLeast"/>
        <w:jc w:val="both"/>
        <w:rPr>
          <w:rFonts w:ascii="Times New Roman" w:eastAsia="Times New Roman" w:hAnsi="Times New Roman"/>
          <w:bCs/>
          <w:sz w:val="22"/>
          <w:szCs w:val="22"/>
          <w:lang w:val="en-GB" w:eastAsia="de-DE"/>
        </w:rPr>
      </w:pPr>
      <w:r w:rsidRPr="00953C87">
        <w:rPr>
          <w:rFonts w:ascii="Times New Roman" w:eastAsia="Times New Roman" w:hAnsi="Times New Roman"/>
          <w:sz w:val="22"/>
          <w:szCs w:val="22"/>
          <w:lang w:val="en-GB" w:eastAsia="de-DE"/>
        </w:rPr>
        <w:t>The establishment of the UPDR is under way and a specific workshop will be dedicated to the UPDR at the 3</w:t>
      </w:r>
      <w:r w:rsidRPr="00953C87">
        <w:rPr>
          <w:rFonts w:ascii="Times New Roman" w:eastAsia="Times New Roman" w:hAnsi="Times New Roman"/>
          <w:sz w:val="22"/>
          <w:szCs w:val="22"/>
          <w:vertAlign w:val="superscript"/>
          <w:lang w:val="en-GB" w:eastAsia="de-DE"/>
        </w:rPr>
        <w:t>rd</w:t>
      </w:r>
      <w:r w:rsidRPr="00953C87">
        <w:rPr>
          <w:rFonts w:ascii="Times New Roman" w:eastAsia="Times New Roman" w:hAnsi="Times New Roman"/>
          <w:sz w:val="22"/>
          <w:szCs w:val="22"/>
          <w:lang w:val="en-GB" w:eastAsia="de-DE"/>
        </w:rPr>
        <w:t xml:space="preserve"> Annual Forum in Vienna. A website will be created where cities can exchange best practice, search project partners and announce events. Selected cities have also the opportunity to take over thematic leadership and thereby foster the macro-regional approach in the Danube Region in a focussed way. The UPDR is a joint initiative of the cities of Vienna and Ulm and will be implemented in close cooperation of PAC10 and the CODCR. Moreover, PA10 cooperates closely with the </w:t>
      </w:r>
      <w:r w:rsidRPr="00953C87">
        <w:rPr>
          <w:rFonts w:ascii="Times New Roman" w:eastAsia="Times New Roman" w:hAnsi="Times New Roman"/>
          <w:bCs/>
          <w:sz w:val="22"/>
          <w:szCs w:val="22"/>
          <w:lang w:val="en-GB" w:eastAsia="de-DE"/>
        </w:rPr>
        <w:t>Austrian Association of Cities and Towns</w:t>
      </w:r>
      <w:r w:rsidRPr="00953C87">
        <w:rPr>
          <w:rFonts w:ascii="Times New Roman" w:eastAsia="Times New Roman" w:hAnsi="Times New Roman"/>
          <w:b/>
          <w:bCs/>
          <w:sz w:val="22"/>
          <w:szCs w:val="22"/>
          <w:lang w:val="en-GB" w:eastAsia="de-DE"/>
        </w:rPr>
        <w:t xml:space="preserve"> </w:t>
      </w:r>
      <w:r w:rsidRPr="00953C87">
        <w:rPr>
          <w:rFonts w:ascii="Times New Roman" w:eastAsia="Times New Roman" w:hAnsi="Times New Roman"/>
          <w:bCs/>
          <w:sz w:val="22"/>
          <w:szCs w:val="22"/>
          <w:lang w:val="en-GB" w:eastAsia="de-DE"/>
        </w:rPr>
        <w:t>and</w:t>
      </w:r>
      <w:r w:rsidRPr="00953C87">
        <w:rPr>
          <w:rFonts w:ascii="Times New Roman" w:eastAsia="Times New Roman" w:hAnsi="Times New Roman"/>
          <w:b/>
          <w:bCs/>
          <w:sz w:val="22"/>
          <w:szCs w:val="22"/>
          <w:lang w:val="en-GB" w:eastAsia="de-DE"/>
        </w:rPr>
        <w:t xml:space="preserve"> </w:t>
      </w:r>
      <w:r w:rsidRPr="00953C87">
        <w:rPr>
          <w:rFonts w:ascii="Times New Roman" w:eastAsia="Times New Roman" w:hAnsi="Times New Roman"/>
          <w:bCs/>
          <w:sz w:val="22"/>
          <w:szCs w:val="22"/>
          <w:lang w:val="en-GB" w:eastAsia="de-DE"/>
        </w:rPr>
        <w:t>the</w:t>
      </w:r>
      <w:r w:rsidRPr="00953C87">
        <w:rPr>
          <w:rFonts w:ascii="Times New Roman" w:eastAsia="Times New Roman" w:hAnsi="Times New Roman"/>
          <w:b/>
          <w:bCs/>
          <w:sz w:val="22"/>
          <w:szCs w:val="22"/>
          <w:lang w:val="en-GB" w:eastAsia="de-DE"/>
        </w:rPr>
        <w:t xml:space="preserve"> </w:t>
      </w:r>
      <w:r w:rsidRPr="00953C87">
        <w:rPr>
          <w:rFonts w:ascii="Times New Roman" w:eastAsia="Times New Roman" w:hAnsi="Times New Roman"/>
          <w:bCs/>
          <w:sz w:val="22"/>
          <w:szCs w:val="22"/>
          <w:lang w:val="en-GB" w:eastAsia="de-DE"/>
        </w:rPr>
        <w:t>Austrian</w:t>
      </w:r>
      <w:r w:rsidRPr="00953C87">
        <w:rPr>
          <w:rFonts w:ascii="Times New Roman" w:eastAsia="Times New Roman" w:hAnsi="Times New Roman"/>
          <w:b/>
          <w:bCs/>
          <w:sz w:val="22"/>
          <w:szCs w:val="22"/>
          <w:lang w:val="en-GB" w:eastAsia="de-DE"/>
        </w:rPr>
        <w:t xml:space="preserve"> </w:t>
      </w:r>
      <w:r w:rsidRPr="00953C87">
        <w:rPr>
          <w:rFonts w:ascii="Times New Roman" w:eastAsia="Times New Roman" w:hAnsi="Times New Roman"/>
          <w:bCs/>
          <w:sz w:val="22"/>
          <w:szCs w:val="22"/>
          <w:lang w:val="en-GB" w:eastAsia="de-DE"/>
        </w:rPr>
        <w:t>centre for public administration research in this respect.</w:t>
      </w:r>
    </w:p>
    <w:p w:rsidR="00953C87" w:rsidRPr="00953C87" w:rsidRDefault="00953C87" w:rsidP="00953C87">
      <w:pPr>
        <w:spacing w:before="60" w:after="140" w:line="220" w:lineRule="atLeast"/>
        <w:jc w:val="both"/>
        <w:rPr>
          <w:rFonts w:ascii="Times New Roman" w:eastAsia="Times New Roman" w:hAnsi="Times New Roman"/>
          <w:sz w:val="22"/>
          <w:szCs w:val="22"/>
          <w:lang w:val="en-GB" w:eastAsia="de-DE"/>
        </w:rPr>
      </w:pPr>
    </w:p>
    <w:p w:rsidR="00953C87" w:rsidRPr="00953C87" w:rsidRDefault="00953C87" w:rsidP="00953C87">
      <w:pPr>
        <w:numPr>
          <w:ilvl w:val="0"/>
          <w:numId w:val="20"/>
        </w:numPr>
        <w:spacing w:before="60" w:after="140" w:line="220" w:lineRule="atLeast"/>
        <w:contextualSpacing/>
        <w:jc w:val="both"/>
        <w:rPr>
          <w:rFonts w:ascii="Times New Roman" w:eastAsia="Calibri" w:hAnsi="Times New Roman"/>
          <w:b/>
          <w:sz w:val="22"/>
          <w:szCs w:val="22"/>
          <w:lang w:val="en-GB"/>
        </w:rPr>
      </w:pPr>
      <w:r w:rsidRPr="00953C87">
        <w:rPr>
          <w:rFonts w:ascii="Times New Roman" w:eastAsia="Calibri" w:hAnsi="Times New Roman"/>
          <w:b/>
          <w:sz w:val="22"/>
          <w:szCs w:val="22"/>
          <w:lang w:val="en-GB"/>
        </w:rPr>
        <w:t>To review bottlenecks relating to the low absorption rate of EU funds and to ensure better coordination of funding</w:t>
      </w:r>
    </w:p>
    <w:p w:rsidR="00953C87" w:rsidRPr="00953C87" w:rsidRDefault="00953C87" w:rsidP="00953C87">
      <w:pPr>
        <w:spacing w:before="60" w:after="140" w:line="220" w:lineRule="atLeast"/>
        <w:ind w:left="720"/>
        <w:contextualSpacing/>
        <w:jc w:val="both"/>
        <w:rPr>
          <w:rFonts w:ascii="Times New Roman" w:eastAsia="Calibri" w:hAnsi="Times New Roman"/>
          <w:b/>
          <w:sz w:val="22"/>
          <w:szCs w:val="22"/>
          <w:lang w:val="en-GB"/>
        </w:rPr>
      </w:pPr>
    </w:p>
    <w:p w:rsidR="00953C87" w:rsidRPr="00953C87" w:rsidRDefault="00953C87" w:rsidP="00953C87">
      <w:pPr>
        <w:autoSpaceDE w:val="0"/>
        <w:autoSpaceDN w:val="0"/>
        <w:adjustRightInd w:val="0"/>
        <w:spacing w:after="0"/>
        <w:jc w:val="both"/>
        <w:rPr>
          <w:rFonts w:ascii="Times New Roman" w:eastAsia="Calibri" w:hAnsi="Times New Roman"/>
          <w:sz w:val="22"/>
          <w:szCs w:val="22"/>
          <w:lang w:val="en-GB"/>
        </w:rPr>
      </w:pPr>
      <w:r w:rsidRPr="00953C87">
        <w:rPr>
          <w:rFonts w:ascii="Times New Roman" w:eastAsia="Times New Roman" w:hAnsi="Times New Roman"/>
          <w:sz w:val="22"/>
          <w:szCs w:val="22"/>
          <w:lang w:val="en-GB" w:eastAsia="de-DE"/>
        </w:rPr>
        <w:t>The identification of problems related to special procedures within certain administrations must be handled on the operational level very carefully and, if it should be a success at the end, very internally. The identification of the bottlenecks itself again must be a top down initiated activity in the relevant government units</w:t>
      </w:r>
      <w:r w:rsidRPr="00953C87">
        <w:rPr>
          <w:rFonts w:ascii="Times New Roman" w:eastAsia="Times New Roman" w:hAnsi="Times New Roman"/>
          <w:i/>
          <w:sz w:val="22"/>
          <w:szCs w:val="22"/>
          <w:lang w:val="en-GB" w:eastAsia="de-DE"/>
        </w:rPr>
        <w:t xml:space="preserve">. </w:t>
      </w:r>
      <w:r w:rsidRPr="00953C87">
        <w:rPr>
          <w:rFonts w:ascii="Times New Roman" w:eastAsia="Times New Roman" w:hAnsi="Times New Roman"/>
          <w:sz w:val="22"/>
          <w:szCs w:val="22"/>
          <w:lang w:val="en-GB" w:eastAsia="de-DE"/>
        </w:rPr>
        <w:t xml:space="preserve">The 2013 </w:t>
      </w:r>
      <w:hyperlink r:id="rId9" w:history="1">
        <w:r w:rsidRPr="00953C87">
          <w:rPr>
            <w:rFonts w:ascii="Times New Roman" w:eastAsia="Times New Roman" w:hAnsi="Times New Roman"/>
            <w:color w:val="0000FF"/>
            <w:sz w:val="22"/>
            <w:szCs w:val="22"/>
            <w:u w:val="single"/>
            <w:lang w:val="en-GB" w:eastAsia="de-DE"/>
          </w:rPr>
          <w:t>EC report on Cohesion policy and programme implementation</w:t>
        </w:r>
      </w:hyperlink>
      <w:r w:rsidRPr="00953C87">
        <w:rPr>
          <w:rFonts w:ascii="Times New Roman" w:eastAsia="Times New Roman" w:hAnsi="Times New Roman"/>
          <w:sz w:val="22"/>
          <w:szCs w:val="22"/>
          <w:lang w:val="en-GB" w:eastAsia="de-DE"/>
        </w:rPr>
        <w:t xml:space="preserve"> findings </w:t>
      </w:r>
      <w:r w:rsidRPr="00953C87">
        <w:rPr>
          <w:rFonts w:ascii="Times New Roman" w:eastAsia="Calibri" w:hAnsi="Times New Roman"/>
          <w:sz w:val="22"/>
          <w:szCs w:val="22"/>
          <w:lang w:val="en-GB"/>
        </w:rPr>
        <w:t>cite “the crisis as the main cause of difficulties, some12 countries identify other contributing factors. Those include the late start of the programmes due to the extension of the previous period, an underlying lack (or even decline) in administrative capacity, the challenges in preparing major infrastructure projects and obtaining Commission approval, changes in legislation, inconsistent political ownership (changes in national and regional government, changes to institutions) and the effects of national sectoral reforms.”</w:t>
      </w:r>
    </w:p>
    <w:p w:rsidR="00953C87" w:rsidRPr="00953C87" w:rsidRDefault="00953C87" w:rsidP="00953C87">
      <w:pPr>
        <w:spacing w:before="60" w:after="140"/>
        <w:jc w:val="both"/>
        <w:rPr>
          <w:rFonts w:ascii="Times New Roman" w:eastAsia="Times New Roman" w:hAnsi="Times New Roman"/>
          <w:i/>
          <w:sz w:val="22"/>
          <w:szCs w:val="22"/>
          <w:lang w:val="en-GB" w:eastAsia="de-DE"/>
        </w:rPr>
      </w:pPr>
    </w:p>
    <w:p w:rsidR="00953C87" w:rsidRPr="00953C87" w:rsidRDefault="00953C87" w:rsidP="00953C87">
      <w:pPr>
        <w:spacing w:before="60" w:after="140"/>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lastRenderedPageBreak/>
        <w:t>So far, PA10 has focused its activities on capacity building initiatives in the area of project financing, planning, sharing of good practice and experiences as well as financial transparency. A prerequisite for any other activities by PAC 10 is the information about relevant contact persons which should be provided by the EC. As the absorption rates for 2007-2013 are known (BG 48%,CZ 49%, D 69%, HU 59%, AT 65%, RO 37%, SI 62% SK 48%,EU Cross Border 51%), the next step could be the organisation of a workshop/working group with support of the NCPs. Funding other than regional funding should also be considered in the context of PA10, such as the citizenship programme or TAIEX with regard to public administrations in third countries in the Danube Region.</w:t>
      </w:r>
    </w:p>
    <w:p w:rsidR="00953C87" w:rsidRPr="00953C87" w:rsidRDefault="00953C87" w:rsidP="00953C87">
      <w:pPr>
        <w:spacing w:before="60" w:after="140"/>
        <w:jc w:val="both"/>
        <w:rPr>
          <w:rFonts w:ascii="Times New Roman" w:eastAsia="Times New Roman" w:hAnsi="Times New Roman"/>
          <w:i/>
          <w:sz w:val="22"/>
          <w:szCs w:val="22"/>
          <w:lang w:val="en-GB" w:eastAsia="de-DE"/>
        </w:rPr>
      </w:pPr>
      <w:r>
        <w:rPr>
          <w:rFonts w:ascii="Times New Roman" w:eastAsia="Calibri" w:hAnsi="Times New Roman"/>
          <w:noProof/>
          <w:sz w:val="22"/>
          <w:szCs w:val="22"/>
          <w:lang w:val="de-AT" w:eastAsia="de-AT"/>
        </w:rPr>
        <w:drawing>
          <wp:inline distT="0" distB="0" distL="0" distR="0">
            <wp:extent cx="5759450" cy="3372485"/>
            <wp:effectExtent l="0" t="0" r="0" b="0"/>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3372485"/>
                    </a:xfrm>
                    <a:prstGeom prst="rect">
                      <a:avLst/>
                    </a:prstGeom>
                    <a:noFill/>
                    <a:ln>
                      <a:noFill/>
                    </a:ln>
                  </pic:spPr>
                </pic:pic>
              </a:graphicData>
            </a:graphic>
          </wp:inline>
        </w:drawing>
      </w:r>
    </w:p>
    <w:p w:rsidR="00953C87" w:rsidRPr="00953C87" w:rsidRDefault="00953C87" w:rsidP="00953C87">
      <w:pPr>
        <w:numPr>
          <w:ilvl w:val="0"/>
          <w:numId w:val="19"/>
        </w:numPr>
        <w:spacing w:before="60" w:after="140" w:line="276" w:lineRule="auto"/>
        <w:contextualSpacing/>
        <w:jc w:val="both"/>
        <w:rPr>
          <w:rFonts w:ascii="Times New Roman" w:eastAsia="Calibri" w:hAnsi="Times New Roman"/>
          <w:b/>
          <w:sz w:val="22"/>
          <w:szCs w:val="22"/>
          <w:lang w:val="en-GB"/>
        </w:rPr>
      </w:pPr>
      <w:r w:rsidRPr="00953C87">
        <w:rPr>
          <w:rFonts w:ascii="Times New Roman" w:eastAsia="Calibri" w:hAnsi="Times New Roman"/>
          <w:b/>
          <w:sz w:val="22"/>
          <w:szCs w:val="22"/>
          <w:lang w:val="en-GB"/>
        </w:rPr>
        <w:t>To support the development of local financial products for business and community development</w:t>
      </w:r>
    </w:p>
    <w:p w:rsidR="00953C87" w:rsidRPr="00953C87" w:rsidRDefault="00953C87" w:rsidP="00953C87">
      <w:pPr>
        <w:spacing w:before="60" w:after="140"/>
        <w:ind w:left="360"/>
        <w:contextualSpacing/>
        <w:jc w:val="both"/>
        <w:rPr>
          <w:rFonts w:ascii="Times New Roman" w:eastAsia="Calibri" w:hAnsi="Times New Roman"/>
          <w:b/>
          <w:color w:val="1F497D"/>
          <w:sz w:val="22"/>
          <w:szCs w:val="22"/>
          <w:lang w:val="en-GB"/>
        </w:rPr>
      </w:pPr>
    </w:p>
    <w:p w:rsidR="00953C87" w:rsidRPr="00953C87" w:rsidRDefault="00953C87" w:rsidP="00953C87">
      <w:pPr>
        <w:spacing w:before="60" w:after="140"/>
        <w:ind w:left="360"/>
        <w:contextualSpacing/>
        <w:jc w:val="both"/>
        <w:rPr>
          <w:rFonts w:ascii="Times New Roman" w:eastAsia="Calibri" w:hAnsi="Times New Roman"/>
          <w:b/>
          <w:color w:val="1F497D"/>
          <w:sz w:val="22"/>
          <w:szCs w:val="22"/>
          <w:lang w:val="en-GB"/>
        </w:rPr>
      </w:pPr>
      <w:r w:rsidRPr="00953C87">
        <w:rPr>
          <w:rFonts w:ascii="Times New Roman" w:eastAsia="Times New Roman" w:hAnsi="Times New Roman"/>
          <w:sz w:val="22"/>
          <w:szCs w:val="22"/>
          <w:lang w:val="en-GB" w:eastAsia="de-DE"/>
        </w:rPr>
        <w:t xml:space="preserve">Apart from the issues of financing and financial products that the Danube Financial Dialogue is touching, no specific activities in this regard have been undertaken. </w:t>
      </w:r>
    </w:p>
    <w:p w:rsidR="00953C87" w:rsidRPr="00953C87" w:rsidRDefault="00953C87" w:rsidP="00953C87">
      <w:pPr>
        <w:spacing w:before="60" w:after="140"/>
        <w:ind w:left="360"/>
        <w:contextualSpacing/>
        <w:jc w:val="both"/>
        <w:rPr>
          <w:rFonts w:ascii="Times New Roman" w:eastAsia="Calibri" w:hAnsi="Times New Roman"/>
          <w:b/>
          <w:color w:val="1F497D"/>
          <w:sz w:val="22"/>
          <w:szCs w:val="22"/>
          <w:lang w:val="en-GB"/>
        </w:rPr>
      </w:pPr>
    </w:p>
    <w:p w:rsidR="00953C87" w:rsidRPr="00953C87" w:rsidRDefault="00953C87" w:rsidP="00953C87">
      <w:pPr>
        <w:numPr>
          <w:ilvl w:val="0"/>
          <w:numId w:val="19"/>
        </w:numPr>
        <w:spacing w:before="60" w:after="140" w:line="276" w:lineRule="auto"/>
        <w:contextualSpacing/>
        <w:jc w:val="both"/>
        <w:rPr>
          <w:rFonts w:ascii="Times New Roman" w:eastAsia="Calibri" w:hAnsi="Times New Roman"/>
          <w:b/>
          <w:sz w:val="22"/>
          <w:szCs w:val="22"/>
          <w:lang w:val="en-GB"/>
        </w:rPr>
      </w:pPr>
      <w:r w:rsidRPr="00953C87">
        <w:rPr>
          <w:rFonts w:ascii="Times New Roman" w:eastAsia="Calibri" w:hAnsi="Times New Roman"/>
          <w:b/>
          <w:sz w:val="22"/>
          <w:szCs w:val="22"/>
          <w:lang w:val="en-GB"/>
        </w:rPr>
        <w:t>To examine the feasibility of a Danube Investment Framework</w:t>
      </w:r>
    </w:p>
    <w:p w:rsidR="00953C87" w:rsidRPr="00953C87" w:rsidRDefault="00953C87" w:rsidP="00953C87">
      <w:pPr>
        <w:spacing w:before="60" w:after="140"/>
        <w:ind w:left="720"/>
        <w:contextualSpacing/>
        <w:jc w:val="both"/>
        <w:rPr>
          <w:rFonts w:ascii="Times New Roman" w:eastAsia="Calibri" w:hAnsi="Times New Roman"/>
          <w:b/>
          <w:sz w:val="22"/>
          <w:szCs w:val="22"/>
          <w:lang w:val="en-GB"/>
        </w:rPr>
      </w:pPr>
    </w:p>
    <w:p w:rsidR="00953C87" w:rsidRPr="00953C87" w:rsidRDefault="00953C87" w:rsidP="00953C87">
      <w:pPr>
        <w:spacing w:before="60" w:after="140"/>
        <w:contextualSpacing/>
        <w:jc w:val="both"/>
        <w:rPr>
          <w:rFonts w:ascii="Times New Roman" w:eastAsia="Calibri" w:hAnsi="Times New Roman"/>
          <w:sz w:val="22"/>
          <w:szCs w:val="22"/>
          <w:lang w:val="en-GB"/>
        </w:rPr>
      </w:pPr>
      <w:r w:rsidRPr="00953C87">
        <w:rPr>
          <w:rFonts w:ascii="Times New Roman" w:eastAsia="Calibri" w:hAnsi="Times New Roman"/>
          <w:sz w:val="22"/>
          <w:szCs w:val="22"/>
          <w:lang w:val="en-GB"/>
        </w:rPr>
        <w:t>There have been some key-players identified and contacted in the region who represent a huge amount of experience in project promotion and project financing. There is the</w:t>
      </w:r>
    </w:p>
    <w:p w:rsidR="00953C87" w:rsidRPr="00953C87" w:rsidRDefault="00953C87" w:rsidP="00953C87">
      <w:pPr>
        <w:numPr>
          <w:ilvl w:val="0"/>
          <w:numId w:val="21"/>
        </w:numPr>
        <w:spacing w:before="60" w:after="140" w:line="276" w:lineRule="auto"/>
        <w:contextualSpacing/>
        <w:jc w:val="both"/>
        <w:rPr>
          <w:rFonts w:ascii="Times New Roman" w:eastAsia="Calibri" w:hAnsi="Times New Roman"/>
          <w:sz w:val="22"/>
          <w:szCs w:val="22"/>
          <w:lang w:val="en-GB"/>
        </w:rPr>
      </w:pPr>
      <w:r w:rsidRPr="00953C87">
        <w:rPr>
          <w:rFonts w:ascii="Times New Roman" w:eastAsia="Calibri" w:hAnsi="Times New Roman"/>
          <w:sz w:val="22"/>
          <w:szCs w:val="22"/>
          <w:lang w:val="en-GB"/>
        </w:rPr>
        <w:t>Western Balkans Investment Framework</w:t>
      </w:r>
    </w:p>
    <w:p w:rsidR="00953C87" w:rsidRPr="00953C87" w:rsidRDefault="00953C87" w:rsidP="00953C87">
      <w:pPr>
        <w:numPr>
          <w:ilvl w:val="0"/>
          <w:numId w:val="21"/>
        </w:numPr>
        <w:spacing w:before="60" w:after="140" w:line="276" w:lineRule="auto"/>
        <w:contextualSpacing/>
        <w:jc w:val="both"/>
        <w:rPr>
          <w:rFonts w:ascii="Times New Roman" w:eastAsia="Calibri" w:hAnsi="Times New Roman"/>
          <w:sz w:val="22"/>
          <w:szCs w:val="22"/>
          <w:lang w:val="en-GB"/>
        </w:rPr>
      </w:pPr>
      <w:r w:rsidRPr="00953C87">
        <w:rPr>
          <w:rFonts w:ascii="Times New Roman" w:eastAsia="Calibri" w:hAnsi="Times New Roman"/>
          <w:sz w:val="22"/>
          <w:szCs w:val="22"/>
          <w:lang w:val="en-GB"/>
        </w:rPr>
        <w:t>Regional Cooperation Council</w:t>
      </w:r>
    </w:p>
    <w:p w:rsidR="00953C87" w:rsidRPr="00953C87" w:rsidRDefault="00953C87" w:rsidP="00953C87">
      <w:pPr>
        <w:numPr>
          <w:ilvl w:val="0"/>
          <w:numId w:val="21"/>
        </w:numPr>
        <w:spacing w:before="60" w:after="140" w:line="276" w:lineRule="auto"/>
        <w:contextualSpacing/>
        <w:jc w:val="both"/>
        <w:rPr>
          <w:rFonts w:ascii="Times New Roman" w:eastAsia="Calibri" w:hAnsi="Times New Roman"/>
          <w:sz w:val="22"/>
          <w:szCs w:val="22"/>
          <w:lang w:val="en-GB"/>
        </w:rPr>
      </w:pPr>
      <w:r w:rsidRPr="00953C87">
        <w:rPr>
          <w:rFonts w:ascii="Times New Roman" w:eastAsia="Calibri" w:hAnsi="Times New Roman"/>
          <w:sz w:val="22"/>
          <w:szCs w:val="22"/>
          <w:lang w:val="en-GB"/>
        </w:rPr>
        <w:t>Central European Initiative</w:t>
      </w:r>
    </w:p>
    <w:p w:rsidR="00953C87" w:rsidRDefault="00953C87" w:rsidP="00953C87">
      <w:pPr>
        <w:spacing w:before="60" w:after="140" w:line="220" w:lineRule="atLeast"/>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 xml:space="preserve">Together with experts already involved by PA 10 in the DFD (European Fund Managers, Managers of the EIB, Managers from the National Banks, Managers of local Commercial Banks) it should be possible to start a procedure to clarify both issues. </w:t>
      </w:r>
    </w:p>
    <w:p w:rsidR="00953C87" w:rsidRDefault="00953C87" w:rsidP="00953C87">
      <w:pPr>
        <w:spacing w:before="60" w:after="140" w:line="220" w:lineRule="atLeast"/>
        <w:jc w:val="both"/>
        <w:rPr>
          <w:rFonts w:ascii="Times New Roman" w:eastAsia="Times New Roman" w:hAnsi="Times New Roman"/>
          <w:sz w:val="22"/>
          <w:szCs w:val="22"/>
          <w:lang w:val="en-GB" w:eastAsia="de-DE"/>
        </w:rPr>
      </w:pPr>
    </w:p>
    <w:p w:rsidR="00953C87" w:rsidRDefault="00953C87" w:rsidP="00953C87">
      <w:pPr>
        <w:spacing w:before="60" w:after="140" w:line="220" w:lineRule="atLeast"/>
        <w:jc w:val="both"/>
        <w:rPr>
          <w:rFonts w:ascii="Times New Roman" w:eastAsia="Times New Roman" w:hAnsi="Times New Roman"/>
          <w:sz w:val="22"/>
          <w:szCs w:val="22"/>
          <w:lang w:val="en-GB" w:eastAsia="de-DE"/>
        </w:rPr>
      </w:pPr>
    </w:p>
    <w:p w:rsidR="00953C87" w:rsidRDefault="00953C87" w:rsidP="00953C87">
      <w:pPr>
        <w:spacing w:before="60" w:after="140" w:line="220" w:lineRule="atLeast"/>
        <w:jc w:val="both"/>
        <w:rPr>
          <w:rFonts w:ascii="Times New Roman" w:eastAsia="Times New Roman" w:hAnsi="Times New Roman"/>
          <w:sz w:val="22"/>
          <w:szCs w:val="22"/>
          <w:lang w:val="en-GB" w:eastAsia="de-DE"/>
        </w:rPr>
      </w:pPr>
    </w:p>
    <w:p w:rsidR="006B1BE2" w:rsidRDefault="006B1BE2" w:rsidP="00953C87">
      <w:pPr>
        <w:spacing w:before="60" w:after="140" w:line="220" w:lineRule="atLeast"/>
        <w:jc w:val="both"/>
        <w:rPr>
          <w:rFonts w:ascii="Times New Roman" w:eastAsia="Times New Roman" w:hAnsi="Times New Roman"/>
          <w:sz w:val="22"/>
          <w:szCs w:val="22"/>
          <w:lang w:val="en-GB" w:eastAsia="de-DE"/>
        </w:rPr>
      </w:pPr>
    </w:p>
    <w:p w:rsidR="006B1BE2" w:rsidRDefault="006B1BE2" w:rsidP="00953C87">
      <w:pPr>
        <w:spacing w:before="60" w:after="140" w:line="220" w:lineRule="atLeast"/>
        <w:jc w:val="both"/>
        <w:rPr>
          <w:rFonts w:ascii="Times New Roman" w:eastAsia="Times New Roman" w:hAnsi="Times New Roman"/>
          <w:sz w:val="22"/>
          <w:szCs w:val="22"/>
          <w:lang w:val="en-GB" w:eastAsia="de-DE"/>
        </w:rPr>
      </w:pPr>
    </w:p>
    <w:p w:rsidR="006B1BE2" w:rsidRPr="00953C87" w:rsidRDefault="006B1BE2" w:rsidP="00953C87">
      <w:pPr>
        <w:spacing w:before="60" w:after="140" w:line="220" w:lineRule="atLeast"/>
        <w:jc w:val="both"/>
        <w:rPr>
          <w:rFonts w:ascii="Times New Roman" w:eastAsia="Times New Roman" w:hAnsi="Times New Roman"/>
          <w:sz w:val="22"/>
          <w:szCs w:val="22"/>
          <w:lang w:val="en-GB" w:eastAsia="de-DE"/>
        </w:rPr>
      </w:pPr>
    </w:p>
    <w:p w:rsidR="00953C87" w:rsidRPr="00953C87" w:rsidRDefault="00953C87" w:rsidP="00953C87">
      <w:pPr>
        <w:numPr>
          <w:ilvl w:val="0"/>
          <w:numId w:val="18"/>
        </w:numPr>
        <w:spacing w:before="60" w:after="140" w:line="220" w:lineRule="atLeast"/>
        <w:jc w:val="both"/>
        <w:rPr>
          <w:rFonts w:ascii="Times New Roman" w:eastAsia="Times New Roman" w:hAnsi="Times New Roman"/>
          <w:b/>
          <w:sz w:val="22"/>
          <w:szCs w:val="22"/>
          <w:lang w:val="en-GB" w:eastAsia="de-DE"/>
        </w:rPr>
      </w:pPr>
      <w:r w:rsidRPr="00953C87">
        <w:rPr>
          <w:rFonts w:ascii="Times New Roman" w:eastAsia="Times New Roman" w:hAnsi="Times New Roman"/>
          <w:b/>
          <w:sz w:val="22"/>
          <w:szCs w:val="22"/>
          <w:lang w:val="en-GB" w:eastAsia="de-DE"/>
        </w:rPr>
        <w:t>The work plan</w:t>
      </w:r>
    </w:p>
    <w:p w:rsidR="00953C87" w:rsidRPr="00953C87" w:rsidRDefault="00953C87" w:rsidP="00953C87">
      <w:pPr>
        <w:numPr>
          <w:ilvl w:val="1"/>
          <w:numId w:val="18"/>
        </w:numPr>
        <w:spacing w:before="60" w:after="140" w:line="220" w:lineRule="atLeast"/>
        <w:jc w:val="both"/>
        <w:rPr>
          <w:rFonts w:ascii="Times New Roman" w:eastAsia="Times New Roman" w:hAnsi="Times New Roman"/>
          <w:b/>
          <w:sz w:val="22"/>
          <w:szCs w:val="22"/>
          <w:lang w:val="en-GB" w:eastAsia="de-DE"/>
        </w:rPr>
      </w:pPr>
      <w:r w:rsidRPr="00953C87">
        <w:rPr>
          <w:rFonts w:ascii="Times New Roman" w:eastAsia="Times New Roman" w:hAnsi="Times New Roman"/>
          <w:b/>
          <w:sz w:val="22"/>
          <w:szCs w:val="22"/>
          <w:lang w:val="en-GB" w:eastAsia="de-DE"/>
        </w:rPr>
        <w:t>Role of PAC10</w:t>
      </w:r>
    </w:p>
    <w:p w:rsidR="00953C87" w:rsidRPr="00953C87" w:rsidRDefault="00953C87" w:rsidP="00953C87">
      <w:pPr>
        <w:spacing w:before="60" w:after="140" w:line="220" w:lineRule="atLeast"/>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Besides the overall coordination and implementation of the Steering Group of PA10, PAC10 implements a number of horizontal EUSDR pilot projects related to financing and governance of the EUSDR such as the Danube Financial Forum (DFD) or the Technical Assistance Facility for Danube Region Projects (TAF-DRP). Moreover, PAC10 has a crucial role to play in the strategic planning of the 3</w:t>
      </w:r>
      <w:r w:rsidRPr="00953C87">
        <w:rPr>
          <w:rFonts w:ascii="Times New Roman" w:eastAsia="Times New Roman" w:hAnsi="Times New Roman"/>
          <w:sz w:val="22"/>
          <w:szCs w:val="22"/>
          <w:vertAlign w:val="superscript"/>
          <w:lang w:val="en-GB" w:eastAsia="de-DE"/>
        </w:rPr>
        <w:t>rd</w:t>
      </w:r>
      <w:r w:rsidRPr="00953C87">
        <w:rPr>
          <w:rFonts w:ascii="Times New Roman" w:eastAsia="Times New Roman" w:hAnsi="Times New Roman"/>
          <w:sz w:val="22"/>
          <w:szCs w:val="22"/>
          <w:lang w:val="en-GB" w:eastAsia="de-DE"/>
        </w:rPr>
        <w:t xml:space="preserve"> Annual Forum of the EUSDR in Vienna. In the framework of the four Working Groups, PAC10 also develops platforms which were mentioned above such as the Urban Platform Danube Region (UPDR) or specific action to involve civil society in the EUSDR implementation process. Among the 11 PACs of the EUSDR, PAC10 has a specific role in coordinating horizontal activities of all the PACs but also in serving as an interface to the NCP level.</w:t>
      </w:r>
    </w:p>
    <w:p w:rsidR="00953C87" w:rsidRPr="00953C87" w:rsidRDefault="00953C87" w:rsidP="00953C87">
      <w:pPr>
        <w:numPr>
          <w:ilvl w:val="1"/>
          <w:numId w:val="18"/>
        </w:numPr>
        <w:spacing w:before="60" w:after="140" w:line="220" w:lineRule="atLeast"/>
        <w:jc w:val="both"/>
        <w:rPr>
          <w:rFonts w:ascii="Times New Roman" w:eastAsia="Times New Roman" w:hAnsi="Times New Roman"/>
          <w:b/>
          <w:sz w:val="22"/>
          <w:szCs w:val="22"/>
          <w:lang w:val="en-GB" w:eastAsia="de-DE"/>
        </w:rPr>
      </w:pPr>
      <w:r w:rsidRPr="00953C87">
        <w:rPr>
          <w:rFonts w:ascii="Times New Roman" w:eastAsia="Times New Roman" w:hAnsi="Times New Roman"/>
          <w:b/>
          <w:sz w:val="22"/>
          <w:szCs w:val="22"/>
          <w:lang w:val="en-GB" w:eastAsia="de-DE"/>
        </w:rPr>
        <w:t>Role of the SG members</w:t>
      </w:r>
    </w:p>
    <w:p w:rsidR="00953C87" w:rsidRPr="00953C87" w:rsidRDefault="00953C87" w:rsidP="00953C87">
      <w:pPr>
        <w:spacing w:before="60" w:after="140" w:line="220" w:lineRule="atLeast"/>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 xml:space="preserve">As a follow-up to the PA10 action “review bottlenecks relating to the low absorption rate of EU funds and to ensure better coordination of funding”, PA10 plans to develop and support a </w:t>
      </w:r>
      <w:r w:rsidRPr="00953C87">
        <w:rPr>
          <w:rFonts w:ascii="Times New Roman" w:eastAsia="Times New Roman" w:hAnsi="Times New Roman"/>
          <w:b/>
          <w:sz w:val="22"/>
          <w:szCs w:val="22"/>
          <w:lang w:val="en-GB" w:eastAsia="de-DE"/>
        </w:rPr>
        <w:t>project proposal</w:t>
      </w:r>
      <w:r w:rsidRPr="00953C87">
        <w:rPr>
          <w:rFonts w:ascii="Times New Roman" w:eastAsia="Times New Roman" w:hAnsi="Times New Roman"/>
          <w:sz w:val="22"/>
          <w:szCs w:val="22"/>
          <w:lang w:val="en-GB" w:eastAsia="de-DE"/>
        </w:rPr>
        <w:t xml:space="preserve"> which explores the relevant governance axes and possible interfaces between the macro-regional level, the partnership agreements, and the regional and national goals for regional policies and funding in the EUSDR countries. It would build on existing reports related to spatial planning like CADSES, ESTIA and VISION, but also on reports from the EC and INTERACT, as well as on information submitted by steering committee members of PA10. </w:t>
      </w:r>
    </w:p>
    <w:p w:rsidR="00953C87" w:rsidRPr="00953C87" w:rsidRDefault="00953C87" w:rsidP="00953C87">
      <w:pPr>
        <w:spacing w:line="276" w:lineRule="auto"/>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The outcome should be a concise report, which could be used:</w:t>
      </w:r>
    </w:p>
    <w:p w:rsidR="00953C87" w:rsidRPr="00953C87" w:rsidRDefault="00953C87" w:rsidP="00953C87">
      <w:pPr>
        <w:numPr>
          <w:ilvl w:val="0"/>
          <w:numId w:val="24"/>
        </w:numPr>
        <w:spacing w:line="276" w:lineRule="auto"/>
        <w:contextualSpacing/>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 xml:space="preserve">as a basis for further discussions on EC/PAC/NCP/national level, enabling an overview of the concrete national policies and practices on the one hand, the overall situation in the EUSDR on the other. </w:t>
      </w:r>
    </w:p>
    <w:p w:rsidR="00953C87" w:rsidRPr="00953C87" w:rsidRDefault="00953C87" w:rsidP="00953C87">
      <w:pPr>
        <w:numPr>
          <w:ilvl w:val="0"/>
          <w:numId w:val="24"/>
        </w:numPr>
        <w:spacing w:line="276" w:lineRule="auto"/>
        <w:contextualSpacing/>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as a showcase of good/rather good practices throughout the EUSDR,  possibly facilitating and furthering proposals for  institutional and structural reforms which could enhance the role of macro-regions in regional planning and the  absorption of EU funds in the EUSDR.</w:t>
      </w:r>
    </w:p>
    <w:p w:rsidR="00953C87" w:rsidRPr="00953C87" w:rsidRDefault="00953C87" w:rsidP="00953C87">
      <w:pPr>
        <w:numPr>
          <w:ilvl w:val="0"/>
          <w:numId w:val="24"/>
        </w:numPr>
        <w:spacing w:line="276" w:lineRule="auto"/>
        <w:contextualSpacing/>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as a focal point for the on-going  discussion on the future of the EUSDR, on the governance as well as on the project level in the context of the  regulatory framework of the EU concerning the role and consistency between macro regions and  the upcoming new period of EU funds and programmes.</w:t>
      </w:r>
    </w:p>
    <w:p w:rsidR="00953C87" w:rsidRPr="00953C87" w:rsidRDefault="00953C87" w:rsidP="00953C87">
      <w:pPr>
        <w:spacing w:line="276" w:lineRule="auto"/>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First results should be presented at the occasion of the 4</w:t>
      </w:r>
      <w:r w:rsidRPr="00953C87">
        <w:rPr>
          <w:rFonts w:ascii="Times New Roman" w:eastAsia="Times New Roman" w:hAnsi="Times New Roman"/>
          <w:sz w:val="22"/>
          <w:szCs w:val="22"/>
          <w:vertAlign w:val="superscript"/>
          <w:lang w:val="en-GB" w:eastAsia="de-DE"/>
        </w:rPr>
        <w:t>th</w:t>
      </w:r>
      <w:r w:rsidRPr="00953C87">
        <w:rPr>
          <w:rFonts w:ascii="Times New Roman" w:eastAsia="Times New Roman" w:hAnsi="Times New Roman"/>
          <w:sz w:val="22"/>
          <w:szCs w:val="22"/>
          <w:lang w:val="en-GB" w:eastAsia="de-DE"/>
        </w:rPr>
        <w:t xml:space="preserve"> Annual Forum of the EUSDR to be held in Baden-Württemberg in 2015.</w:t>
      </w:r>
    </w:p>
    <w:p w:rsidR="00953C87" w:rsidRPr="00953C87" w:rsidRDefault="00953C87" w:rsidP="00953C87">
      <w:pPr>
        <w:spacing w:line="276" w:lineRule="auto"/>
        <w:jc w:val="both"/>
        <w:rPr>
          <w:rFonts w:ascii="Times New Roman" w:eastAsia="Times New Roman" w:hAnsi="Times New Roman"/>
          <w:sz w:val="22"/>
          <w:szCs w:val="22"/>
          <w:lang w:val="en-GB" w:eastAsia="de-DE"/>
        </w:rPr>
      </w:pPr>
      <w:r w:rsidRPr="00953C87">
        <w:rPr>
          <w:rFonts w:ascii="Times New Roman" w:eastAsia="Times New Roman" w:hAnsi="Times New Roman"/>
          <w:sz w:val="22"/>
          <w:szCs w:val="22"/>
          <w:lang w:val="en-GB" w:eastAsia="de-DE"/>
        </w:rPr>
        <w:t>The members of PA10 SG should provide the PAC and the relevant Working Group with an input report which shows the relevant status in each co</w:t>
      </w:r>
      <w:r w:rsidR="00664FE8">
        <w:rPr>
          <w:rFonts w:ascii="Times New Roman" w:eastAsia="Times New Roman" w:hAnsi="Times New Roman"/>
          <w:sz w:val="22"/>
          <w:szCs w:val="22"/>
          <w:lang w:val="en-GB" w:eastAsia="de-DE"/>
        </w:rPr>
        <w:t>untry until the end of June 2014</w:t>
      </w:r>
      <w:bookmarkStart w:id="0" w:name="_GoBack"/>
      <w:bookmarkEnd w:id="0"/>
      <w:r w:rsidRPr="00953C87">
        <w:rPr>
          <w:rFonts w:ascii="Times New Roman" w:eastAsia="Times New Roman" w:hAnsi="Times New Roman"/>
          <w:sz w:val="22"/>
          <w:szCs w:val="22"/>
          <w:lang w:val="en-GB" w:eastAsia="de-DE"/>
        </w:rPr>
        <w:t>. PAC10 will provide an online questionnaire.</w:t>
      </w:r>
    </w:p>
    <w:p w:rsidR="00953C87" w:rsidRPr="00953C87" w:rsidRDefault="00953C87" w:rsidP="00953C87">
      <w:pPr>
        <w:spacing w:before="60" w:after="140" w:line="220" w:lineRule="atLeast"/>
        <w:jc w:val="both"/>
        <w:rPr>
          <w:rFonts w:ascii="Times New Roman" w:eastAsia="Times New Roman" w:hAnsi="Times New Roman"/>
          <w:b/>
          <w:sz w:val="22"/>
          <w:szCs w:val="22"/>
          <w:lang w:val="en-GB" w:eastAsia="de-DE"/>
        </w:rPr>
      </w:pPr>
    </w:p>
    <w:p w:rsidR="00C34866" w:rsidRPr="002178A2" w:rsidRDefault="00C34866">
      <w:pPr>
        <w:pStyle w:val="Headline2"/>
        <w:ind w:left="0" w:firstLine="0"/>
        <w:rPr>
          <w:rFonts w:ascii="Calibri" w:hAnsi="Calibri"/>
          <w:b/>
          <w:lang w:val="en-US"/>
        </w:rPr>
      </w:pPr>
    </w:p>
    <w:sectPr w:rsidR="00C34866" w:rsidRPr="002178A2" w:rsidSect="00623FD5">
      <w:headerReference w:type="even" r:id="rId11"/>
      <w:headerReference w:type="default" r:id="rId12"/>
      <w:footerReference w:type="even" r:id="rId13"/>
      <w:footerReference w:type="default" r:id="rId14"/>
      <w:headerReference w:type="first" r:id="rId15"/>
      <w:footerReference w:type="first" r:id="rId16"/>
      <w:pgSz w:w="11906" w:h="16838"/>
      <w:pgMar w:top="680" w:right="851" w:bottom="680" w:left="851" w:header="284" w:footer="8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C87" w:rsidRDefault="00953C87">
      <w:pPr>
        <w:spacing w:after="0"/>
      </w:pPr>
      <w:r>
        <w:separator/>
      </w:r>
    </w:p>
  </w:endnote>
  <w:endnote w:type="continuationSeparator" w:id="0">
    <w:p w:rsidR="00953C87" w:rsidRDefault="00953C8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Trebuchet MS Bold">
    <w:altName w:val="Trebuchet MS"/>
    <w:charset w:val="00"/>
    <w:family w:val="auto"/>
    <w:pitch w:val="variable"/>
    <w:sig w:usb0="00000001" w:usb1="00000000" w:usb2="00000000" w:usb3="00000000" w:csb0="0000009F" w:csb1="00000000"/>
  </w:font>
  <w:font w:name="ArialBold">
    <w:altName w:val="Cambri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093" w:rsidRDefault="00C9609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9B4" w:rsidRDefault="00953C87" w:rsidP="000A448D">
    <w:pPr>
      <w:pStyle w:val="Fuzeile"/>
      <w:jc w:val="center"/>
      <w:rPr>
        <w:color w:val="0E4194"/>
        <w:sz w:val="20"/>
        <w:lang w:val="en-US"/>
      </w:rPr>
    </w:pPr>
    <w:r>
      <w:rPr>
        <w:noProof/>
        <w:lang w:val="de-AT" w:eastAsia="de-AT"/>
      </w:rPr>
      <mc:AlternateContent>
        <mc:Choice Requires="wps">
          <w:drawing>
            <wp:anchor distT="4294967295" distB="4294967295" distL="114300" distR="114300" simplePos="0" relativeHeight="251655680" behindDoc="0" locked="0" layoutInCell="1" allowOverlap="1">
              <wp:simplePos x="0" y="0"/>
              <wp:positionH relativeFrom="column">
                <wp:posOffset>-88900</wp:posOffset>
              </wp:positionH>
              <wp:positionV relativeFrom="paragraph">
                <wp:posOffset>62229</wp:posOffset>
              </wp:positionV>
              <wp:extent cx="6638290" cy="0"/>
              <wp:effectExtent l="0" t="0" r="10160" b="1905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8290" cy="0"/>
                      </a:xfrm>
                      <a:prstGeom prst="straightConnector1">
                        <a:avLst/>
                      </a:prstGeom>
                      <a:noFill/>
                      <a:ln w="635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7pt;margin-top:4.9pt;width:522.7pt;height:0;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" strokecolor="windowText" strokeweight=".5pt"/>
          </w:pict>
        </mc:Fallback>
      </mc:AlternateContent>
    </w:r>
  </w:p>
  <w:p w:rsidR="002B09B4" w:rsidRDefault="00953C87" w:rsidP="002B09B4">
    <w:pPr>
      <w:pStyle w:val="Fuzeile"/>
      <w:jc w:val="center"/>
      <w:rPr>
        <w:color w:val="0E4194"/>
        <w:sz w:val="20"/>
        <w:lang w:val="en-US"/>
      </w:rPr>
    </w:pPr>
    <w:r>
      <w:rPr>
        <w:noProof/>
        <w:lang w:val="de-AT" w:eastAsia="de-AT"/>
      </w:rPr>
      <w:drawing>
        <wp:anchor distT="0" distB="0" distL="114300" distR="114300" simplePos="0" relativeHeight="251659776" behindDoc="0" locked="0" layoutInCell="1" allowOverlap="1">
          <wp:simplePos x="0" y="0"/>
          <wp:positionH relativeFrom="column">
            <wp:posOffset>5751195</wp:posOffset>
          </wp:positionH>
          <wp:positionV relativeFrom="paragraph">
            <wp:posOffset>41910</wp:posOffset>
          </wp:positionV>
          <wp:extent cx="771525" cy="772160"/>
          <wp:effectExtent l="0" t="0" r="9525" b="8890"/>
          <wp:wrapNone/>
          <wp:docPr id="3" name="Picture 2" descr="Beschreibung: Center-of-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schreibung: Center-of-E.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7721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AT" w:eastAsia="de-AT"/>
      </w:rPr>
      <w:drawing>
        <wp:anchor distT="0" distB="0" distL="114300" distR="114300" simplePos="0" relativeHeight="251657728" behindDoc="1" locked="0" layoutInCell="1" allowOverlap="1">
          <wp:simplePos x="0" y="0"/>
          <wp:positionH relativeFrom="column">
            <wp:posOffset>-89535</wp:posOffset>
          </wp:positionH>
          <wp:positionV relativeFrom="paragraph">
            <wp:posOffset>33020</wp:posOffset>
          </wp:positionV>
          <wp:extent cx="624205" cy="700405"/>
          <wp:effectExtent l="0" t="0" r="4445" b="4445"/>
          <wp:wrapNone/>
          <wp:docPr id="2" name="Grafik 3" descr="Beschreibung: Wappen Logo Bri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Beschreibung: Wappen Logo Brie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4205" cy="7004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09B4" w:rsidRDefault="002B09B4" w:rsidP="002B09B4">
    <w:pPr>
      <w:pStyle w:val="Fuzeile"/>
      <w:jc w:val="center"/>
      <w:rPr>
        <w:color w:val="0E4194"/>
        <w:sz w:val="20"/>
        <w:lang w:val="en-US"/>
      </w:rPr>
    </w:pPr>
  </w:p>
  <w:p w:rsidR="00B20C1D" w:rsidRPr="00B20C1D" w:rsidRDefault="00B20C1D" w:rsidP="00B20C1D">
    <w:pPr>
      <w:spacing w:after="0"/>
      <w:ind w:left="1134"/>
      <w:jc w:val="center"/>
      <w:rPr>
        <w:rFonts w:ascii="Calibri" w:hAnsi="Calibri"/>
        <w:b/>
        <w:color w:val="0E4194"/>
        <w:sz w:val="20"/>
        <w:szCs w:val="20"/>
        <w:lang w:val="en-US"/>
      </w:rPr>
    </w:pPr>
    <w:r w:rsidRPr="00B20C1D">
      <w:rPr>
        <w:rFonts w:ascii="Calibri" w:hAnsi="Calibri"/>
        <w:b/>
        <w:color w:val="0E4194"/>
        <w:sz w:val="20"/>
        <w:szCs w:val="20"/>
        <w:lang w:val="en-US"/>
      </w:rPr>
      <w:t>Priority Area 10 | Institutional Capacity and cooperation</w:t>
    </w:r>
  </w:p>
  <w:p w:rsidR="002B09B4" w:rsidRPr="00B20C1D" w:rsidRDefault="00B20C1D" w:rsidP="00B20C1D">
    <w:pPr>
      <w:pStyle w:val="Fuzeile"/>
      <w:jc w:val="center"/>
      <w:rPr>
        <w:color w:val="0E4194"/>
        <w:sz w:val="20"/>
      </w:rPr>
    </w:pPr>
    <w:r w:rsidRPr="00C96093">
      <w:rPr>
        <w:rFonts w:ascii="Calibri" w:hAnsi="Calibri"/>
        <w:b/>
        <w:color w:val="0E4194"/>
        <w:sz w:val="20"/>
        <w:szCs w:val="20"/>
        <w:lang w:val="en-US"/>
      </w:rPr>
      <w:t>www.danube-</w:t>
    </w:r>
    <w:r w:rsidR="00F70CDE">
      <w:rPr>
        <w:rFonts w:ascii="Calibri" w:hAnsi="Calibri"/>
        <w:b/>
        <w:color w:val="0E4194"/>
        <w:sz w:val="20"/>
        <w:szCs w:val="20"/>
        <w:lang w:val="en-US"/>
      </w:rPr>
      <w:t>capacity</w:t>
    </w:r>
    <w:r w:rsidRPr="00C96093">
      <w:rPr>
        <w:rFonts w:ascii="Calibri" w:hAnsi="Calibri"/>
        <w:b/>
        <w:color w:val="0E4194"/>
        <w:sz w:val="20"/>
        <w:szCs w:val="20"/>
        <w:lang w:val="en-US"/>
      </w:rPr>
      <w:t>cooperation.eu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093" w:rsidRDefault="00C9609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C87" w:rsidRDefault="00953C87">
      <w:pPr>
        <w:spacing w:after="0"/>
      </w:pPr>
      <w:r>
        <w:separator/>
      </w:r>
    </w:p>
  </w:footnote>
  <w:footnote w:type="continuationSeparator" w:id="0">
    <w:p w:rsidR="00953C87" w:rsidRDefault="00953C8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093" w:rsidRDefault="00C9609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9B4" w:rsidRDefault="00953C87">
    <w:r>
      <w:rPr>
        <w:noProof/>
        <w:lang w:val="de-AT" w:eastAsia="de-AT"/>
      </w:rPr>
      <w:drawing>
        <wp:anchor distT="0" distB="0" distL="114300" distR="114300" simplePos="0" relativeHeight="251658752" behindDoc="1" locked="0" layoutInCell="1" allowOverlap="1">
          <wp:simplePos x="0" y="0"/>
          <wp:positionH relativeFrom="column">
            <wp:posOffset>20955</wp:posOffset>
          </wp:positionH>
          <wp:positionV relativeFrom="paragraph">
            <wp:posOffset>195580</wp:posOffset>
          </wp:positionV>
          <wp:extent cx="558800" cy="379730"/>
          <wp:effectExtent l="0" t="0" r="0" b="1270"/>
          <wp:wrapNone/>
          <wp:docPr id="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80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AT" w:eastAsia="de-AT"/>
      </w:rPr>
      <w:drawing>
        <wp:anchor distT="0" distB="0" distL="114300" distR="114300" simplePos="0" relativeHeight="251656704" behindDoc="1" locked="0" layoutInCell="1" allowOverlap="1">
          <wp:simplePos x="0" y="0"/>
          <wp:positionH relativeFrom="column">
            <wp:posOffset>4399280</wp:posOffset>
          </wp:positionH>
          <wp:positionV relativeFrom="paragraph">
            <wp:posOffset>137160</wp:posOffset>
          </wp:positionV>
          <wp:extent cx="2085340" cy="854710"/>
          <wp:effectExtent l="0" t="0" r="0" b="2540"/>
          <wp:wrapNone/>
          <wp:docPr id="5" name="Bild 1" descr="Beschreibung: Logo-10_inst-capa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Logo-10_inst-capacit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85340" cy="85471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Mar>
        <w:left w:w="0" w:type="dxa"/>
        <w:right w:w="0" w:type="dxa"/>
      </w:tblCellMar>
      <w:tblLook w:val="00A0" w:firstRow="1" w:lastRow="0" w:firstColumn="1" w:lastColumn="0" w:noHBand="0" w:noVBand="0"/>
    </w:tblPr>
    <w:tblGrid>
      <w:gridCol w:w="6920"/>
      <w:gridCol w:w="3284"/>
    </w:tblGrid>
    <w:tr w:rsidR="002B09B4" w:rsidRPr="00C96093" w:rsidTr="002B09B4">
      <w:tc>
        <w:tcPr>
          <w:tcW w:w="6920" w:type="dxa"/>
        </w:tcPr>
        <w:p w:rsidR="002B09B4" w:rsidRPr="00B20C1D" w:rsidRDefault="002B09B4" w:rsidP="00B20C1D">
          <w:pPr>
            <w:ind w:left="993"/>
            <w:rPr>
              <w:rFonts w:ascii="Calibri" w:hAnsi="Calibri"/>
              <w:b/>
              <w:color w:val="0E4194"/>
              <w:sz w:val="20"/>
              <w:szCs w:val="20"/>
              <w:lang w:val="en-US"/>
            </w:rPr>
          </w:pPr>
          <w:r w:rsidRPr="00B20C1D">
            <w:rPr>
              <w:rFonts w:ascii="Calibri" w:hAnsi="Calibri"/>
              <w:b/>
              <w:color w:val="0E4194"/>
              <w:sz w:val="20"/>
              <w:szCs w:val="20"/>
              <w:lang w:val="en-US"/>
            </w:rPr>
            <w:t>EU Strategy for the Danube Region</w:t>
          </w:r>
        </w:p>
        <w:p w:rsidR="002B09B4" w:rsidRPr="003D5433" w:rsidRDefault="002B09B4" w:rsidP="00B20C1D">
          <w:pPr>
            <w:spacing w:after="0"/>
            <w:rPr>
              <w:rFonts w:ascii="Calibri" w:hAnsi="Calibri"/>
              <w:b/>
              <w:sz w:val="28"/>
              <w:szCs w:val="28"/>
              <w:lang w:val="en-US"/>
            </w:rPr>
          </w:pPr>
        </w:p>
      </w:tc>
      <w:tc>
        <w:tcPr>
          <w:tcW w:w="3284" w:type="dxa"/>
        </w:tcPr>
        <w:p w:rsidR="002B09B4" w:rsidRPr="00C96093" w:rsidRDefault="002B09B4" w:rsidP="00533AD1">
          <w:pPr>
            <w:spacing w:after="0"/>
            <w:jc w:val="right"/>
            <w:rPr>
              <w:rFonts w:ascii="Arial" w:eastAsia="Calibri" w:hAnsi="Arial"/>
              <w:lang w:val="en-GB"/>
            </w:rPr>
          </w:pPr>
        </w:p>
      </w:tc>
    </w:tr>
  </w:tbl>
  <w:p w:rsidR="002B09B4" w:rsidRPr="00C96093" w:rsidRDefault="002B09B4">
    <w:pPr>
      <w:pStyle w:val="Kopfzeile"/>
      <w:rPr>
        <w:lang w:val="en-GB"/>
      </w:rPr>
    </w:pPr>
  </w:p>
  <w:p w:rsidR="00C96093" w:rsidRPr="00C96093" w:rsidRDefault="00C96093">
    <w:pPr>
      <w:pStyle w:val="Kopfzeile"/>
      <w:rPr>
        <w:sz w:val="16"/>
        <w:szCs w:val="16"/>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093" w:rsidRDefault="00C9609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69BCDC8E"/>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378EC15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63A4FCDC"/>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BE0EC84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9D0EC922"/>
    <w:lvl w:ilvl="0">
      <w:start w:val="1"/>
      <w:numFmt w:val="bullet"/>
      <w:lvlText w:val=""/>
      <w:lvlJc w:val="left"/>
      <w:pPr>
        <w:tabs>
          <w:tab w:val="num" w:pos="360"/>
        </w:tabs>
        <w:ind w:left="360" w:hanging="360"/>
      </w:pPr>
      <w:rPr>
        <w:rFonts w:ascii="Symbol" w:hAnsi="Symbol" w:hint="default"/>
      </w:rPr>
    </w:lvl>
  </w:abstractNum>
  <w:abstractNum w:abstractNumId="5">
    <w:nsid w:val="01402E80"/>
    <w:multiLevelType w:val="hybridMultilevel"/>
    <w:tmpl w:val="11461532"/>
    <w:lvl w:ilvl="0" w:tplc="D1C60F36">
      <w:start w:val="21"/>
      <w:numFmt w:val="bullet"/>
      <w:lvlText w:val="-"/>
      <w:lvlJc w:val="left"/>
      <w:pPr>
        <w:ind w:left="720" w:hanging="360"/>
      </w:pPr>
      <w:rPr>
        <w:rFonts w:ascii="Calibri" w:eastAsia="Calibri" w:hAnsi="Calibri"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7">
    <w:nsid w:val="144D7182"/>
    <w:multiLevelType w:val="hybridMultilevel"/>
    <w:tmpl w:val="A05EC1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8">
    <w:nsid w:val="22D16BE3"/>
    <w:multiLevelType w:val="hybridMultilevel"/>
    <w:tmpl w:val="7F7AE470"/>
    <w:lvl w:ilvl="0" w:tplc="FFFFFFFF">
      <w:start w:val="1"/>
      <w:numFmt w:val="bullet"/>
      <w:lvlText w:val="-"/>
      <w:lvlJc w:val="left"/>
      <w:pPr>
        <w:ind w:left="720" w:hanging="360"/>
      </w:pPr>
      <w:rPr>
        <w:rFonts w:ascii="Symbol" w:hAnsi="Symbol" w:cs="Wingdings"/>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57B1747"/>
    <w:multiLevelType w:val="hybridMultilevel"/>
    <w:tmpl w:val="5F965278"/>
    <w:lvl w:ilvl="0" w:tplc="0444DB20">
      <w:start w:val="1"/>
      <w:numFmt w:val="bullet"/>
      <w:pStyle w:val="BulletSquare"/>
      <w:lvlText w:val=""/>
      <w:lvlJc w:val="left"/>
      <w:pPr>
        <w:tabs>
          <w:tab w:val="num" w:pos="360"/>
        </w:tabs>
        <w:ind w:left="284" w:hanging="284"/>
      </w:pPr>
      <w:rPr>
        <w:rFonts w:ascii="Webdings" w:hAnsi="Webdings" w:hint="default"/>
        <w:b w:val="0"/>
        <w:i w:val="0"/>
        <w:caps w:val="0"/>
        <w:strike w:val="0"/>
        <w:dstrike w:val="0"/>
        <w:vanish w:val="0"/>
        <w:color w:val="000000"/>
        <w:spacing w:val="0"/>
        <w:w w:val="100"/>
        <w:kern w:val="0"/>
        <w:position w:val="0"/>
        <w:sz w:val="18"/>
        <w:vertAlign w:val="baseline"/>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10">
    <w:nsid w:val="31566371"/>
    <w:multiLevelType w:val="hybridMultilevel"/>
    <w:tmpl w:val="E9C23546"/>
    <w:lvl w:ilvl="0" w:tplc="E5B0446A">
      <w:numFmt w:val="bullet"/>
      <w:lvlText w:val="-"/>
      <w:lvlJc w:val="left"/>
      <w:pPr>
        <w:ind w:left="1065" w:hanging="360"/>
      </w:pPr>
      <w:rPr>
        <w:rFonts w:ascii="Arial" w:eastAsia="Calibri" w:hAnsi="Arial" w:cs="Arial" w:hint="default"/>
      </w:rPr>
    </w:lvl>
    <w:lvl w:ilvl="1" w:tplc="0C070003" w:tentative="1">
      <w:start w:val="1"/>
      <w:numFmt w:val="bullet"/>
      <w:lvlText w:val="o"/>
      <w:lvlJc w:val="left"/>
      <w:pPr>
        <w:ind w:left="1785" w:hanging="360"/>
      </w:pPr>
      <w:rPr>
        <w:rFonts w:ascii="Courier New" w:hAnsi="Courier New" w:cs="Courier New" w:hint="default"/>
      </w:rPr>
    </w:lvl>
    <w:lvl w:ilvl="2" w:tplc="0C070005" w:tentative="1">
      <w:start w:val="1"/>
      <w:numFmt w:val="bullet"/>
      <w:lvlText w:val=""/>
      <w:lvlJc w:val="left"/>
      <w:pPr>
        <w:ind w:left="2505" w:hanging="360"/>
      </w:pPr>
      <w:rPr>
        <w:rFonts w:ascii="Wingdings" w:hAnsi="Wingdings" w:hint="default"/>
      </w:rPr>
    </w:lvl>
    <w:lvl w:ilvl="3" w:tplc="0C070001" w:tentative="1">
      <w:start w:val="1"/>
      <w:numFmt w:val="bullet"/>
      <w:lvlText w:val=""/>
      <w:lvlJc w:val="left"/>
      <w:pPr>
        <w:ind w:left="3225" w:hanging="360"/>
      </w:pPr>
      <w:rPr>
        <w:rFonts w:ascii="Symbol" w:hAnsi="Symbol" w:hint="default"/>
      </w:rPr>
    </w:lvl>
    <w:lvl w:ilvl="4" w:tplc="0C070003" w:tentative="1">
      <w:start w:val="1"/>
      <w:numFmt w:val="bullet"/>
      <w:lvlText w:val="o"/>
      <w:lvlJc w:val="left"/>
      <w:pPr>
        <w:ind w:left="3945" w:hanging="360"/>
      </w:pPr>
      <w:rPr>
        <w:rFonts w:ascii="Courier New" w:hAnsi="Courier New" w:cs="Courier New" w:hint="default"/>
      </w:rPr>
    </w:lvl>
    <w:lvl w:ilvl="5" w:tplc="0C070005" w:tentative="1">
      <w:start w:val="1"/>
      <w:numFmt w:val="bullet"/>
      <w:lvlText w:val=""/>
      <w:lvlJc w:val="left"/>
      <w:pPr>
        <w:ind w:left="4665" w:hanging="360"/>
      </w:pPr>
      <w:rPr>
        <w:rFonts w:ascii="Wingdings" w:hAnsi="Wingdings" w:hint="default"/>
      </w:rPr>
    </w:lvl>
    <w:lvl w:ilvl="6" w:tplc="0C070001" w:tentative="1">
      <w:start w:val="1"/>
      <w:numFmt w:val="bullet"/>
      <w:lvlText w:val=""/>
      <w:lvlJc w:val="left"/>
      <w:pPr>
        <w:ind w:left="5385" w:hanging="360"/>
      </w:pPr>
      <w:rPr>
        <w:rFonts w:ascii="Symbol" w:hAnsi="Symbol" w:hint="default"/>
      </w:rPr>
    </w:lvl>
    <w:lvl w:ilvl="7" w:tplc="0C070003" w:tentative="1">
      <w:start w:val="1"/>
      <w:numFmt w:val="bullet"/>
      <w:lvlText w:val="o"/>
      <w:lvlJc w:val="left"/>
      <w:pPr>
        <w:ind w:left="6105" w:hanging="360"/>
      </w:pPr>
      <w:rPr>
        <w:rFonts w:ascii="Courier New" w:hAnsi="Courier New" w:cs="Courier New" w:hint="default"/>
      </w:rPr>
    </w:lvl>
    <w:lvl w:ilvl="8" w:tplc="0C070005" w:tentative="1">
      <w:start w:val="1"/>
      <w:numFmt w:val="bullet"/>
      <w:lvlText w:val=""/>
      <w:lvlJc w:val="left"/>
      <w:pPr>
        <w:ind w:left="6825" w:hanging="360"/>
      </w:pPr>
      <w:rPr>
        <w:rFonts w:ascii="Wingdings" w:hAnsi="Wingdings" w:hint="default"/>
      </w:rPr>
    </w:lvl>
  </w:abstractNum>
  <w:abstractNum w:abstractNumId="11">
    <w:nsid w:val="319974CB"/>
    <w:multiLevelType w:val="hybridMultilevel"/>
    <w:tmpl w:val="2128788A"/>
    <w:lvl w:ilvl="0" w:tplc="071C2DD2">
      <w:numFmt w:val="bullet"/>
      <w:lvlText w:val=""/>
      <w:lvlJc w:val="left"/>
      <w:pPr>
        <w:ind w:left="720" w:hanging="360"/>
      </w:pPr>
      <w:rPr>
        <w:rFonts w:ascii="Symbol" w:eastAsia="Calibri"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nsid w:val="32354638"/>
    <w:multiLevelType w:val="hybridMultilevel"/>
    <w:tmpl w:val="1BD65F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7F8294A"/>
    <w:multiLevelType w:val="hybridMultilevel"/>
    <w:tmpl w:val="BEB23BCA"/>
    <w:lvl w:ilvl="0" w:tplc="FCE8E9D0">
      <w:start w:val="1"/>
      <w:numFmt w:val="lowerLetter"/>
      <w:pStyle w:val="maufzhlungabc"/>
      <w:lvlText w:val="%1)"/>
      <w:lvlJc w:val="left"/>
      <w:pPr>
        <w:tabs>
          <w:tab w:val="num" w:pos="644"/>
        </w:tabs>
        <w:ind w:left="567" w:hanging="283"/>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49783FFC"/>
    <w:multiLevelType w:val="hybridMultilevel"/>
    <w:tmpl w:val="BBEE0B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4B3B6635"/>
    <w:multiLevelType w:val="hybridMultilevel"/>
    <w:tmpl w:val="10560628"/>
    <w:lvl w:ilvl="0" w:tplc="E5B0446A">
      <w:numFmt w:val="bullet"/>
      <w:lvlText w:val="-"/>
      <w:lvlJc w:val="left"/>
      <w:pPr>
        <w:ind w:left="1068" w:hanging="360"/>
      </w:pPr>
      <w:rPr>
        <w:rFonts w:ascii="Arial" w:eastAsia="Calibri" w:hAnsi="Arial" w:cs="Aria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6">
    <w:nsid w:val="58433AC2"/>
    <w:multiLevelType w:val="hybridMultilevel"/>
    <w:tmpl w:val="57CCC14A"/>
    <w:lvl w:ilvl="0" w:tplc="CBEA720A">
      <w:numFmt w:val="bullet"/>
      <w:lvlText w:val="-"/>
      <w:lvlJc w:val="left"/>
      <w:pPr>
        <w:ind w:left="1065" w:hanging="360"/>
      </w:pPr>
      <w:rPr>
        <w:rFonts w:ascii="Arial" w:eastAsia="Times New Roman" w:hAnsi="Arial" w:cs="Arial" w:hint="default"/>
      </w:rPr>
    </w:lvl>
    <w:lvl w:ilvl="1" w:tplc="0C070003" w:tentative="1">
      <w:start w:val="1"/>
      <w:numFmt w:val="bullet"/>
      <w:lvlText w:val="o"/>
      <w:lvlJc w:val="left"/>
      <w:pPr>
        <w:ind w:left="1785" w:hanging="360"/>
      </w:pPr>
      <w:rPr>
        <w:rFonts w:ascii="Courier New" w:hAnsi="Courier New" w:cs="Courier New" w:hint="default"/>
      </w:rPr>
    </w:lvl>
    <w:lvl w:ilvl="2" w:tplc="0C070005" w:tentative="1">
      <w:start w:val="1"/>
      <w:numFmt w:val="bullet"/>
      <w:lvlText w:val=""/>
      <w:lvlJc w:val="left"/>
      <w:pPr>
        <w:ind w:left="2505" w:hanging="360"/>
      </w:pPr>
      <w:rPr>
        <w:rFonts w:ascii="Wingdings" w:hAnsi="Wingdings" w:hint="default"/>
      </w:rPr>
    </w:lvl>
    <w:lvl w:ilvl="3" w:tplc="0C070001" w:tentative="1">
      <w:start w:val="1"/>
      <w:numFmt w:val="bullet"/>
      <w:lvlText w:val=""/>
      <w:lvlJc w:val="left"/>
      <w:pPr>
        <w:ind w:left="3225" w:hanging="360"/>
      </w:pPr>
      <w:rPr>
        <w:rFonts w:ascii="Symbol" w:hAnsi="Symbol" w:hint="default"/>
      </w:rPr>
    </w:lvl>
    <w:lvl w:ilvl="4" w:tplc="0C070003" w:tentative="1">
      <w:start w:val="1"/>
      <w:numFmt w:val="bullet"/>
      <w:lvlText w:val="o"/>
      <w:lvlJc w:val="left"/>
      <w:pPr>
        <w:ind w:left="3945" w:hanging="360"/>
      </w:pPr>
      <w:rPr>
        <w:rFonts w:ascii="Courier New" w:hAnsi="Courier New" w:cs="Courier New" w:hint="default"/>
      </w:rPr>
    </w:lvl>
    <w:lvl w:ilvl="5" w:tplc="0C070005" w:tentative="1">
      <w:start w:val="1"/>
      <w:numFmt w:val="bullet"/>
      <w:lvlText w:val=""/>
      <w:lvlJc w:val="left"/>
      <w:pPr>
        <w:ind w:left="4665" w:hanging="360"/>
      </w:pPr>
      <w:rPr>
        <w:rFonts w:ascii="Wingdings" w:hAnsi="Wingdings" w:hint="default"/>
      </w:rPr>
    </w:lvl>
    <w:lvl w:ilvl="6" w:tplc="0C070001" w:tentative="1">
      <w:start w:val="1"/>
      <w:numFmt w:val="bullet"/>
      <w:lvlText w:val=""/>
      <w:lvlJc w:val="left"/>
      <w:pPr>
        <w:ind w:left="5385" w:hanging="360"/>
      </w:pPr>
      <w:rPr>
        <w:rFonts w:ascii="Symbol" w:hAnsi="Symbol" w:hint="default"/>
      </w:rPr>
    </w:lvl>
    <w:lvl w:ilvl="7" w:tplc="0C070003" w:tentative="1">
      <w:start w:val="1"/>
      <w:numFmt w:val="bullet"/>
      <w:lvlText w:val="o"/>
      <w:lvlJc w:val="left"/>
      <w:pPr>
        <w:ind w:left="6105" w:hanging="360"/>
      </w:pPr>
      <w:rPr>
        <w:rFonts w:ascii="Courier New" w:hAnsi="Courier New" w:cs="Courier New" w:hint="default"/>
      </w:rPr>
    </w:lvl>
    <w:lvl w:ilvl="8" w:tplc="0C070005" w:tentative="1">
      <w:start w:val="1"/>
      <w:numFmt w:val="bullet"/>
      <w:lvlText w:val=""/>
      <w:lvlJc w:val="left"/>
      <w:pPr>
        <w:ind w:left="6825" w:hanging="360"/>
      </w:pPr>
      <w:rPr>
        <w:rFonts w:ascii="Wingdings" w:hAnsi="Wingdings" w:hint="default"/>
      </w:rPr>
    </w:lvl>
  </w:abstractNum>
  <w:abstractNum w:abstractNumId="17">
    <w:nsid w:val="5FFB6CCB"/>
    <w:multiLevelType w:val="hybridMultilevel"/>
    <w:tmpl w:val="B87024D2"/>
    <w:lvl w:ilvl="0" w:tplc="ED48852C">
      <w:start w:val="1"/>
      <w:numFmt w:val="bullet"/>
      <w:pStyle w:val="Entry1withBullet"/>
      <w:lvlText w:val=""/>
      <w:lvlJc w:val="left"/>
      <w:pPr>
        <w:ind w:left="2560" w:hanging="360"/>
      </w:pPr>
      <w:rPr>
        <w:rFonts w:ascii="Symbol" w:hAnsi="Symbol" w:hint="default"/>
      </w:rPr>
    </w:lvl>
    <w:lvl w:ilvl="1" w:tplc="04070003" w:tentative="1">
      <w:start w:val="1"/>
      <w:numFmt w:val="bullet"/>
      <w:lvlText w:val="o"/>
      <w:lvlJc w:val="left"/>
      <w:pPr>
        <w:ind w:left="3280" w:hanging="360"/>
      </w:pPr>
      <w:rPr>
        <w:rFonts w:ascii="Courier New" w:hAnsi="Courier New" w:hint="default"/>
      </w:rPr>
    </w:lvl>
    <w:lvl w:ilvl="2" w:tplc="04070005" w:tentative="1">
      <w:start w:val="1"/>
      <w:numFmt w:val="bullet"/>
      <w:lvlText w:val=""/>
      <w:lvlJc w:val="left"/>
      <w:pPr>
        <w:ind w:left="4000" w:hanging="360"/>
      </w:pPr>
      <w:rPr>
        <w:rFonts w:ascii="Wingdings" w:hAnsi="Wingdings" w:hint="default"/>
      </w:rPr>
    </w:lvl>
    <w:lvl w:ilvl="3" w:tplc="04070001" w:tentative="1">
      <w:start w:val="1"/>
      <w:numFmt w:val="bullet"/>
      <w:lvlText w:val=""/>
      <w:lvlJc w:val="left"/>
      <w:pPr>
        <w:ind w:left="4720" w:hanging="360"/>
      </w:pPr>
      <w:rPr>
        <w:rFonts w:ascii="Symbol" w:hAnsi="Symbol" w:hint="default"/>
      </w:rPr>
    </w:lvl>
    <w:lvl w:ilvl="4" w:tplc="04070003" w:tentative="1">
      <w:start w:val="1"/>
      <w:numFmt w:val="bullet"/>
      <w:lvlText w:val="o"/>
      <w:lvlJc w:val="left"/>
      <w:pPr>
        <w:ind w:left="5440" w:hanging="360"/>
      </w:pPr>
      <w:rPr>
        <w:rFonts w:ascii="Courier New" w:hAnsi="Courier New" w:hint="default"/>
      </w:rPr>
    </w:lvl>
    <w:lvl w:ilvl="5" w:tplc="04070005" w:tentative="1">
      <w:start w:val="1"/>
      <w:numFmt w:val="bullet"/>
      <w:lvlText w:val=""/>
      <w:lvlJc w:val="left"/>
      <w:pPr>
        <w:ind w:left="6160" w:hanging="360"/>
      </w:pPr>
      <w:rPr>
        <w:rFonts w:ascii="Wingdings" w:hAnsi="Wingdings" w:hint="default"/>
      </w:rPr>
    </w:lvl>
    <w:lvl w:ilvl="6" w:tplc="04070001" w:tentative="1">
      <w:start w:val="1"/>
      <w:numFmt w:val="bullet"/>
      <w:lvlText w:val=""/>
      <w:lvlJc w:val="left"/>
      <w:pPr>
        <w:ind w:left="6880" w:hanging="360"/>
      </w:pPr>
      <w:rPr>
        <w:rFonts w:ascii="Symbol" w:hAnsi="Symbol" w:hint="default"/>
      </w:rPr>
    </w:lvl>
    <w:lvl w:ilvl="7" w:tplc="04070003" w:tentative="1">
      <w:start w:val="1"/>
      <w:numFmt w:val="bullet"/>
      <w:lvlText w:val="o"/>
      <w:lvlJc w:val="left"/>
      <w:pPr>
        <w:ind w:left="7600" w:hanging="360"/>
      </w:pPr>
      <w:rPr>
        <w:rFonts w:ascii="Courier New" w:hAnsi="Courier New" w:hint="default"/>
      </w:rPr>
    </w:lvl>
    <w:lvl w:ilvl="8" w:tplc="04070005" w:tentative="1">
      <w:start w:val="1"/>
      <w:numFmt w:val="bullet"/>
      <w:lvlText w:val=""/>
      <w:lvlJc w:val="left"/>
      <w:pPr>
        <w:ind w:left="8320" w:hanging="360"/>
      </w:pPr>
      <w:rPr>
        <w:rFonts w:ascii="Wingdings" w:hAnsi="Wingdings" w:hint="default"/>
      </w:rPr>
    </w:lvl>
  </w:abstractNum>
  <w:abstractNum w:abstractNumId="18">
    <w:nsid w:val="62A46D6F"/>
    <w:multiLevelType w:val="hybridMultilevel"/>
    <w:tmpl w:val="996C37EC"/>
    <w:lvl w:ilvl="0" w:tplc="EC808562">
      <w:start w:val="21"/>
      <w:numFmt w:val="bullet"/>
      <w:lvlText w:val="-"/>
      <w:lvlJc w:val="left"/>
      <w:pPr>
        <w:ind w:left="720" w:hanging="360"/>
      </w:pPr>
      <w:rPr>
        <w:rFonts w:ascii="Calibri" w:eastAsia="Calibri" w:hAnsi="Calibri"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5A23431"/>
    <w:multiLevelType w:val="hybridMultilevel"/>
    <w:tmpl w:val="AF06FC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6EAE61FC"/>
    <w:multiLevelType w:val="hybridMultilevel"/>
    <w:tmpl w:val="A594B3CA"/>
    <w:lvl w:ilvl="0" w:tplc="0C07000F">
      <w:start w:val="1"/>
      <w:numFmt w:val="decimal"/>
      <w:lvlText w:val="%1."/>
      <w:lvlJc w:val="left"/>
      <w:pPr>
        <w:ind w:left="720" w:hanging="360"/>
      </w:pPr>
      <w:rPr>
        <w:rFonts w:hint="default"/>
      </w:r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nsid w:val="76915D4B"/>
    <w:multiLevelType w:val="hybridMultilevel"/>
    <w:tmpl w:val="718A1E1A"/>
    <w:lvl w:ilvl="0" w:tplc="62D4E2C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795D33D3"/>
    <w:multiLevelType w:val="multilevel"/>
    <w:tmpl w:val="1FA43E62"/>
    <w:lvl w:ilvl="0">
      <w:start w:val="1"/>
      <w:numFmt w:val="decimal"/>
      <w:pStyle w:val="mberschrift1"/>
      <w:lvlText w:val="%1"/>
      <w:lvlJc w:val="left"/>
      <w:pPr>
        <w:tabs>
          <w:tab w:val="num" w:pos="474"/>
        </w:tabs>
        <w:ind w:left="262" w:hanging="148"/>
      </w:pPr>
      <w:rPr>
        <w:rFonts w:hint="default"/>
      </w:rPr>
    </w:lvl>
    <w:lvl w:ilvl="1">
      <w:start w:val="1"/>
      <w:numFmt w:val="decimal"/>
      <w:pStyle w:val="mberschrift2"/>
      <w:lvlText w:val="%1.%2"/>
      <w:lvlJc w:val="left"/>
      <w:pPr>
        <w:tabs>
          <w:tab w:val="num" w:pos="360"/>
        </w:tabs>
        <w:ind w:left="0" w:firstLine="0"/>
      </w:pPr>
      <w:rPr>
        <w:rFonts w:hint="default"/>
      </w:rPr>
    </w:lvl>
    <w:lvl w:ilvl="2">
      <w:start w:val="1"/>
      <w:numFmt w:val="decimal"/>
      <w:pStyle w:val="mberschrift3"/>
      <w:lvlText w:val="%1.%2.%3"/>
      <w:lvlJc w:val="left"/>
      <w:pPr>
        <w:tabs>
          <w:tab w:val="num" w:pos="720"/>
        </w:tabs>
        <w:ind w:left="0" w:firstLine="0"/>
      </w:pPr>
      <w:rPr>
        <w:rFonts w:hint="default"/>
      </w:rPr>
    </w:lvl>
    <w:lvl w:ilvl="3">
      <w:start w:val="1"/>
      <w:numFmt w:val="decimal"/>
      <w:pStyle w:val="mberschrift4"/>
      <w:lvlText w:val="%1.%2.%3.%4"/>
      <w:lvlJc w:val="left"/>
      <w:pPr>
        <w:tabs>
          <w:tab w:val="num" w:pos="1080"/>
        </w:tabs>
        <w:ind w:left="0" w:firstLine="0"/>
      </w:pPr>
      <w:rPr>
        <w:rFonts w:hint="default"/>
      </w:rPr>
    </w:lvl>
    <w:lvl w:ilvl="4">
      <w:start w:val="1"/>
      <w:numFmt w:val="decimal"/>
      <w:lvlText w:val="%1.%2.%3.%4.%5"/>
      <w:lvlJc w:val="left"/>
      <w:pPr>
        <w:tabs>
          <w:tab w:val="num" w:pos="838"/>
        </w:tabs>
        <w:ind w:left="838" w:hanging="1008"/>
      </w:pPr>
      <w:rPr>
        <w:rFonts w:hint="default"/>
      </w:rPr>
    </w:lvl>
    <w:lvl w:ilvl="5">
      <w:start w:val="1"/>
      <w:numFmt w:val="decimal"/>
      <w:lvlText w:val="%1.%2.%3.%4.%5.%6"/>
      <w:lvlJc w:val="left"/>
      <w:pPr>
        <w:tabs>
          <w:tab w:val="num" w:pos="982"/>
        </w:tabs>
        <w:ind w:left="982" w:hanging="1152"/>
      </w:pPr>
      <w:rPr>
        <w:rFonts w:hint="default"/>
      </w:rPr>
    </w:lvl>
    <w:lvl w:ilvl="6">
      <w:start w:val="1"/>
      <w:numFmt w:val="decimal"/>
      <w:lvlText w:val="%1.%2.%3.%4.%5.%6.%7"/>
      <w:lvlJc w:val="left"/>
      <w:pPr>
        <w:tabs>
          <w:tab w:val="num" w:pos="1126"/>
        </w:tabs>
        <w:ind w:left="1126" w:hanging="1296"/>
      </w:pPr>
      <w:rPr>
        <w:rFonts w:hint="default"/>
      </w:rPr>
    </w:lvl>
    <w:lvl w:ilvl="7">
      <w:start w:val="1"/>
      <w:numFmt w:val="decimal"/>
      <w:lvlText w:val="%1.%2.%3.%4.%5.%6.%7.%8"/>
      <w:lvlJc w:val="left"/>
      <w:pPr>
        <w:tabs>
          <w:tab w:val="num" w:pos="1270"/>
        </w:tabs>
        <w:ind w:left="1270" w:hanging="1440"/>
      </w:pPr>
      <w:rPr>
        <w:rFonts w:hint="default"/>
      </w:rPr>
    </w:lvl>
    <w:lvl w:ilvl="8">
      <w:start w:val="1"/>
      <w:numFmt w:val="decimal"/>
      <w:lvlText w:val="%1.%2.%3.%4.%5.%6.%7.%8.%9"/>
      <w:lvlJc w:val="left"/>
      <w:pPr>
        <w:tabs>
          <w:tab w:val="num" w:pos="1414"/>
        </w:tabs>
        <w:ind w:left="1414" w:hanging="1584"/>
      </w:pPr>
      <w:rPr>
        <w:rFonts w:hint="default"/>
      </w:rPr>
    </w:lvl>
  </w:abstractNum>
  <w:num w:numId="1">
    <w:abstractNumId w:val="9"/>
  </w:num>
  <w:num w:numId="2">
    <w:abstractNumId w:val="6"/>
  </w:num>
  <w:num w:numId="3">
    <w:abstractNumId w:val="17"/>
  </w:num>
  <w:num w:numId="4">
    <w:abstractNumId w:val="0"/>
  </w:num>
  <w:num w:numId="5">
    <w:abstractNumId w:val="4"/>
  </w:num>
  <w:num w:numId="6">
    <w:abstractNumId w:val="3"/>
  </w:num>
  <w:num w:numId="7">
    <w:abstractNumId w:val="2"/>
  </w:num>
  <w:num w:numId="8">
    <w:abstractNumId w:val="1"/>
  </w:num>
  <w:num w:numId="9">
    <w:abstractNumId w:val="12"/>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4"/>
  </w:num>
  <w:num w:numId="13">
    <w:abstractNumId w:val="13"/>
  </w:num>
  <w:num w:numId="14">
    <w:abstractNumId w:val="22"/>
  </w:num>
  <w:num w:numId="15">
    <w:abstractNumId w:val="21"/>
  </w:num>
  <w:num w:numId="16">
    <w:abstractNumId w:val="18"/>
  </w:num>
  <w:num w:numId="17">
    <w:abstractNumId w:val="5"/>
  </w:num>
  <w:num w:numId="18">
    <w:abstractNumId w:val="20"/>
  </w:num>
  <w:num w:numId="19">
    <w:abstractNumId w:val="11"/>
  </w:num>
  <w:num w:numId="20">
    <w:abstractNumId w:val="7"/>
  </w:num>
  <w:num w:numId="21">
    <w:abstractNumId w:val="10"/>
  </w:num>
  <w:num w:numId="22">
    <w:abstractNumId w:val="16"/>
  </w:num>
  <w:num w:numId="23">
    <w:abstractNumId w:val="15"/>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7">
      <o:colormru v:ext="edit" colors="#0e4194"/>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C87"/>
    <w:rsid w:val="00003A68"/>
    <w:rsid w:val="00024BBE"/>
    <w:rsid w:val="00073D67"/>
    <w:rsid w:val="00075D37"/>
    <w:rsid w:val="000974AB"/>
    <w:rsid w:val="0009753D"/>
    <w:rsid w:val="000A448D"/>
    <w:rsid w:val="000A6130"/>
    <w:rsid w:val="000E5C29"/>
    <w:rsid w:val="00182656"/>
    <w:rsid w:val="00192CD3"/>
    <w:rsid w:val="001B18C6"/>
    <w:rsid w:val="001C4AA6"/>
    <w:rsid w:val="001D6D69"/>
    <w:rsid w:val="002167F2"/>
    <w:rsid w:val="002178A2"/>
    <w:rsid w:val="00241015"/>
    <w:rsid w:val="00260784"/>
    <w:rsid w:val="0029405A"/>
    <w:rsid w:val="0029441C"/>
    <w:rsid w:val="002B09B4"/>
    <w:rsid w:val="0034740E"/>
    <w:rsid w:val="003B48F5"/>
    <w:rsid w:val="003D5433"/>
    <w:rsid w:val="003E3BB1"/>
    <w:rsid w:val="003E565F"/>
    <w:rsid w:val="00490402"/>
    <w:rsid w:val="004974A5"/>
    <w:rsid w:val="004B46C4"/>
    <w:rsid w:val="004E0768"/>
    <w:rsid w:val="004E279E"/>
    <w:rsid w:val="00533AD1"/>
    <w:rsid w:val="00535253"/>
    <w:rsid w:val="005547E4"/>
    <w:rsid w:val="0058561B"/>
    <w:rsid w:val="005E0516"/>
    <w:rsid w:val="005F717A"/>
    <w:rsid w:val="00623FD5"/>
    <w:rsid w:val="0063336F"/>
    <w:rsid w:val="0065597A"/>
    <w:rsid w:val="00664FE8"/>
    <w:rsid w:val="006A7E30"/>
    <w:rsid w:val="006B1BE2"/>
    <w:rsid w:val="00727156"/>
    <w:rsid w:val="0073799A"/>
    <w:rsid w:val="00776708"/>
    <w:rsid w:val="00780689"/>
    <w:rsid w:val="007C22D8"/>
    <w:rsid w:val="007F0F6F"/>
    <w:rsid w:val="008230EE"/>
    <w:rsid w:val="008C3955"/>
    <w:rsid w:val="008C43E2"/>
    <w:rsid w:val="00953C87"/>
    <w:rsid w:val="00B20C1D"/>
    <w:rsid w:val="00B22352"/>
    <w:rsid w:val="00B315BE"/>
    <w:rsid w:val="00BB0EEE"/>
    <w:rsid w:val="00C30A3B"/>
    <w:rsid w:val="00C34866"/>
    <w:rsid w:val="00C406A4"/>
    <w:rsid w:val="00C70328"/>
    <w:rsid w:val="00C925C1"/>
    <w:rsid w:val="00C96093"/>
    <w:rsid w:val="00CC4B0F"/>
    <w:rsid w:val="00CE19A2"/>
    <w:rsid w:val="00CF1CF6"/>
    <w:rsid w:val="00D44757"/>
    <w:rsid w:val="00DF71F5"/>
    <w:rsid w:val="00E120AD"/>
    <w:rsid w:val="00E14066"/>
    <w:rsid w:val="00EA3FBC"/>
    <w:rsid w:val="00EC26E1"/>
    <w:rsid w:val="00ED7FDF"/>
    <w:rsid w:val="00F10EBB"/>
    <w:rsid w:val="00F128EB"/>
    <w:rsid w:val="00F20AA7"/>
    <w:rsid w:val="00F70CDE"/>
    <w:rsid w:val="00F96005"/>
  </w:rsids>
  <m:mathPr>
    <m:mathFont m:val="Cambria Math"/>
    <m:brkBin m:val="before"/>
    <m:brkBinSub m:val="--"/>
    <m:smallFrac m:val="0"/>
    <m:dispDef m:val="0"/>
    <m:lMargin m:val="0"/>
    <m:rMargin m:val="0"/>
    <m:defJc m:val="centerGroup"/>
    <m:wrapRight/>
    <m:intLim m:val="subSup"/>
    <m:naryLim m:val="subSup"/>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colormru v:ext="edit" colors="#0e4194"/>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Standard">
    <w:name w:val="Normal"/>
    <w:qFormat/>
    <w:rsid w:val="00CE19A2"/>
    <w:pPr>
      <w:spacing w:after="200"/>
    </w:pPr>
    <w:rPr>
      <w:rFonts w:ascii="Trebuchet MS" w:hAnsi="Trebuchet MS"/>
      <w:sz w:val="24"/>
      <w:szCs w:val="24"/>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1333BE"/>
  </w:style>
  <w:style w:type="character" w:customStyle="1" w:styleId="Text">
    <w:name w:val="Text"/>
    <w:rsid w:val="001333BE"/>
    <w:rPr>
      <w:rFonts w:ascii="Helvetica" w:hAnsi="Helvetica"/>
      <w:dstrike w:val="0"/>
      <w:color w:val="0F3277"/>
      <w:spacing w:val="0"/>
      <w:kern w:val="0"/>
      <w:position w:val="0"/>
      <w:sz w:val="20"/>
      <w:vertAlign w:val="baseline"/>
    </w:rPr>
  </w:style>
  <w:style w:type="character" w:customStyle="1" w:styleId="TableHeadline">
    <w:name w:val="Table Headline"/>
    <w:rsid w:val="001333BE"/>
    <w:rPr>
      <w:rFonts w:ascii="Helvetica" w:hAnsi="Helvetica"/>
      <w:b/>
      <w:dstrike w:val="0"/>
      <w:color w:val="FFFFFF"/>
      <w:spacing w:val="0"/>
      <w:kern w:val="0"/>
      <w:position w:val="0"/>
      <w:sz w:val="20"/>
      <w:u w:val="none"/>
      <w:vertAlign w:val="baseline"/>
    </w:rPr>
  </w:style>
  <w:style w:type="paragraph" w:customStyle="1" w:styleId="Headline">
    <w:name w:val="Headline"/>
    <w:basedOn w:val="Head1Line"/>
    <w:next w:val="Standard"/>
    <w:rsid w:val="00254017"/>
    <w:rPr>
      <w:rFonts w:ascii="Trebuchet MS Bold" w:hAnsi="Trebuchet MS Bold"/>
      <w:color w:val="003777"/>
    </w:rPr>
  </w:style>
  <w:style w:type="paragraph" w:customStyle="1" w:styleId="HeadDescription1Line">
    <w:name w:val="Head Description 1. Line"/>
    <w:rsid w:val="001333BE"/>
    <w:pPr>
      <w:tabs>
        <w:tab w:val="left" w:pos="1418"/>
      </w:tabs>
      <w:spacing w:after="200"/>
    </w:pPr>
    <w:rPr>
      <w:rFonts w:ascii="Helvetica" w:hAnsi="Helvetica"/>
      <w:b/>
      <w:noProof/>
      <w:color w:val="CC006B"/>
      <w:sz w:val="19"/>
      <w:szCs w:val="24"/>
      <w:lang w:val="de-DE" w:eastAsia="de-DE"/>
    </w:rPr>
  </w:style>
  <w:style w:type="character" w:customStyle="1" w:styleId="HeadText1Line">
    <w:name w:val="Head Text 1. Line"/>
    <w:rsid w:val="001333BE"/>
    <w:rPr>
      <w:rFonts w:ascii="Helvetica" w:hAnsi="Helvetica"/>
      <w:dstrike w:val="0"/>
      <w:color w:val="CC006B"/>
      <w:spacing w:val="0"/>
      <w:w w:val="100"/>
      <w:kern w:val="0"/>
      <w:position w:val="0"/>
      <w:sz w:val="19"/>
      <w:u w:val="none"/>
      <w:vertAlign w:val="baseline"/>
    </w:rPr>
  </w:style>
  <w:style w:type="character" w:customStyle="1" w:styleId="HeadDescriptionFollowlines">
    <w:name w:val="Head Description Followlines"/>
    <w:rsid w:val="001333BE"/>
    <w:rPr>
      <w:rFonts w:ascii="Helvetica" w:hAnsi="Helvetica"/>
      <w:b/>
      <w:dstrike w:val="0"/>
      <w:color w:val="0F3277"/>
      <w:spacing w:val="0"/>
      <w:w w:val="100"/>
      <w:kern w:val="0"/>
      <w:position w:val="0"/>
      <w:sz w:val="19"/>
      <w:vertAlign w:val="baseline"/>
    </w:rPr>
  </w:style>
  <w:style w:type="character" w:customStyle="1" w:styleId="HeadTextFollowlines">
    <w:name w:val="Head Text Followlines"/>
    <w:rsid w:val="001333BE"/>
    <w:rPr>
      <w:rFonts w:ascii="Helvetica" w:hAnsi="Helvetica"/>
      <w:dstrike w:val="0"/>
      <w:color w:val="0F3277"/>
      <w:spacing w:val="0"/>
      <w:w w:val="100"/>
      <w:kern w:val="0"/>
      <w:position w:val="0"/>
      <w:sz w:val="19"/>
      <w:u w:val="none"/>
      <w:vertAlign w:val="baseline"/>
    </w:rPr>
  </w:style>
  <w:style w:type="paragraph" w:customStyle="1" w:styleId="Head1Line">
    <w:name w:val="Head 1. Line"/>
    <w:basedOn w:val="Standard"/>
    <w:rsid w:val="00CE46C8"/>
    <w:pPr>
      <w:outlineLvl w:val="0"/>
    </w:pPr>
    <w:rPr>
      <w:rFonts w:ascii="ArialBold" w:hAnsi="ArialBold"/>
      <w:color w:val="262727"/>
      <w:sz w:val="60"/>
    </w:rPr>
  </w:style>
  <w:style w:type="paragraph" w:customStyle="1" w:styleId="HeadFollowLines">
    <w:name w:val="Head Follow Lines"/>
    <w:basedOn w:val="Head1Line"/>
    <w:rsid w:val="001333BE"/>
    <w:rPr>
      <w:color w:val="0F3277"/>
    </w:rPr>
  </w:style>
  <w:style w:type="paragraph" w:customStyle="1" w:styleId="Headline2">
    <w:name w:val="Headline 2"/>
    <w:basedOn w:val="Standard"/>
    <w:rsid w:val="008A7A8C"/>
    <w:pPr>
      <w:tabs>
        <w:tab w:val="left" w:pos="1843"/>
      </w:tabs>
      <w:ind w:left="1843" w:hanging="1843"/>
    </w:pPr>
    <w:rPr>
      <w:rFonts w:ascii="Trebuchet MS Bold" w:hAnsi="Trebuchet MS Bold"/>
      <w:color w:val="262727"/>
      <w:sz w:val="32"/>
    </w:rPr>
  </w:style>
  <w:style w:type="paragraph" w:customStyle="1" w:styleId="TextAgenda">
    <w:name w:val="Text Agenda"/>
    <w:rsid w:val="001333BE"/>
    <w:pPr>
      <w:tabs>
        <w:tab w:val="left" w:pos="1418"/>
      </w:tabs>
      <w:spacing w:after="200"/>
    </w:pPr>
    <w:rPr>
      <w:rFonts w:ascii="Helvetica" w:hAnsi="Helvetica"/>
      <w:noProof/>
      <w:color w:val="0F3277"/>
      <w:sz w:val="19"/>
      <w:szCs w:val="24"/>
      <w:lang w:val="de-DE" w:eastAsia="de-DE"/>
    </w:rPr>
  </w:style>
  <w:style w:type="paragraph" w:customStyle="1" w:styleId="BulletSquare">
    <w:name w:val="Bullet Square"/>
    <w:rsid w:val="001333BE"/>
    <w:pPr>
      <w:numPr>
        <w:numId w:val="1"/>
      </w:numPr>
      <w:tabs>
        <w:tab w:val="left" w:pos="284"/>
      </w:tabs>
      <w:spacing w:after="200"/>
    </w:pPr>
    <w:rPr>
      <w:noProof/>
      <w:sz w:val="24"/>
      <w:szCs w:val="24"/>
      <w:lang w:val="de-DE" w:eastAsia="de-DE"/>
    </w:rPr>
  </w:style>
  <w:style w:type="paragraph" w:customStyle="1" w:styleId="BulletNormal">
    <w:name w:val="Bullet Normal"/>
    <w:rsid w:val="001333BE"/>
    <w:pPr>
      <w:numPr>
        <w:numId w:val="2"/>
      </w:numPr>
      <w:tabs>
        <w:tab w:val="left" w:pos="567"/>
      </w:tabs>
      <w:spacing w:after="200"/>
    </w:pPr>
    <w:rPr>
      <w:noProof/>
      <w:sz w:val="24"/>
      <w:szCs w:val="24"/>
      <w:lang w:val="de-DE" w:eastAsia="de-DE"/>
    </w:rPr>
  </w:style>
  <w:style w:type="table" w:styleId="Tabellenraster">
    <w:name w:val="Table Grid"/>
    <w:basedOn w:val="NormaleTabelle"/>
    <w:uiPriority w:val="59"/>
    <w:rsid w:val="005F717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arbigeListe-Akzent11">
    <w:name w:val="Farbige Liste - Akzent 11"/>
    <w:basedOn w:val="Standard"/>
    <w:uiPriority w:val="34"/>
    <w:qFormat/>
    <w:rsid w:val="00310CA6"/>
    <w:pPr>
      <w:ind w:left="720"/>
      <w:contextualSpacing/>
    </w:pPr>
  </w:style>
  <w:style w:type="paragraph" w:customStyle="1" w:styleId="DateandVenue">
    <w:name w:val="Date and Venue"/>
    <w:next w:val="Standard"/>
    <w:autoRedefine/>
    <w:qFormat/>
    <w:rsid w:val="008A7A8C"/>
    <w:pPr>
      <w:tabs>
        <w:tab w:val="left" w:pos="1843"/>
      </w:tabs>
      <w:spacing w:after="100"/>
      <w:ind w:left="1843" w:hanging="1843"/>
    </w:pPr>
    <w:rPr>
      <w:rFonts w:ascii="Trebuchet MS Bold" w:hAnsi="Trebuchet MS Bold"/>
      <w:color w:val="003777"/>
      <w:sz w:val="22"/>
      <w:szCs w:val="24"/>
      <w:lang w:val="de-DE" w:eastAsia="en-US"/>
    </w:rPr>
  </w:style>
  <w:style w:type="paragraph" w:customStyle="1" w:styleId="Entry1withLine">
    <w:name w:val="Entry 1 with Line"/>
    <w:next w:val="Standard"/>
    <w:qFormat/>
    <w:rsid w:val="008A7A8C"/>
    <w:pPr>
      <w:pBdr>
        <w:bottom w:val="single" w:sz="4" w:space="10" w:color="262727"/>
        <w:between w:val="single" w:sz="4" w:space="1" w:color="262727"/>
      </w:pBdr>
      <w:tabs>
        <w:tab w:val="left" w:pos="1843"/>
        <w:tab w:val="left" w:pos="2124"/>
        <w:tab w:val="left" w:pos="2832"/>
        <w:tab w:val="left" w:pos="6980"/>
      </w:tabs>
      <w:spacing w:after="200"/>
    </w:pPr>
    <w:rPr>
      <w:rFonts w:ascii="Trebuchet MS" w:hAnsi="Trebuchet MS"/>
      <w:color w:val="262727"/>
      <w:sz w:val="22"/>
      <w:szCs w:val="24"/>
      <w:lang w:val="de-DE" w:eastAsia="en-US"/>
    </w:rPr>
  </w:style>
  <w:style w:type="paragraph" w:customStyle="1" w:styleId="Entry1">
    <w:name w:val="Entry 1"/>
    <w:next w:val="Standard"/>
    <w:qFormat/>
    <w:rsid w:val="008A7A8C"/>
    <w:pPr>
      <w:tabs>
        <w:tab w:val="left" w:pos="1843"/>
      </w:tabs>
      <w:spacing w:after="100"/>
    </w:pPr>
    <w:rPr>
      <w:rFonts w:ascii="Trebuchet MS" w:hAnsi="Trebuchet MS"/>
      <w:color w:val="262727"/>
      <w:sz w:val="22"/>
      <w:szCs w:val="24"/>
      <w:lang w:val="de-DE" w:eastAsia="en-US"/>
    </w:rPr>
  </w:style>
  <w:style w:type="paragraph" w:customStyle="1" w:styleId="Entry1withBullet">
    <w:name w:val="Entry 1 with Bullet"/>
    <w:next w:val="Standard"/>
    <w:qFormat/>
    <w:rsid w:val="00EE7687"/>
    <w:pPr>
      <w:numPr>
        <w:numId w:val="3"/>
      </w:numPr>
      <w:tabs>
        <w:tab w:val="left" w:pos="1843"/>
      </w:tabs>
      <w:spacing w:after="200"/>
      <w:ind w:left="2268" w:hanging="433"/>
    </w:pPr>
    <w:rPr>
      <w:rFonts w:ascii="Trebuchet MS Bold" w:hAnsi="Trebuchet MS Bold"/>
      <w:color w:val="262727"/>
      <w:sz w:val="22"/>
      <w:szCs w:val="24"/>
      <w:lang w:val="de-DE" w:eastAsia="en-US"/>
    </w:rPr>
  </w:style>
  <w:style w:type="paragraph" w:styleId="Kopfzeile">
    <w:name w:val="header"/>
    <w:basedOn w:val="Standard"/>
    <w:link w:val="KopfzeileZchn"/>
    <w:uiPriority w:val="99"/>
    <w:unhideWhenUsed/>
    <w:rsid w:val="00CB223F"/>
    <w:pPr>
      <w:tabs>
        <w:tab w:val="center" w:pos="4536"/>
        <w:tab w:val="right" w:pos="9072"/>
      </w:tabs>
      <w:spacing w:after="0"/>
    </w:pPr>
  </w:style>
  <w:style w:type="character" w:customStyle="1" w:styleId="KopfzeileZchn">
    <w:name w:val="Kopfzeile Zchn"/>
    <w:link w:val="Kopfzeile"/>
    <w:uiPriority w:val="99"/>
    <w:rsid w:val="00CB223F"/>
    <w:rPr>
      <w:sz w:val="24"/>
    </w:rPr>
  </w:style>
  <w:style w:type="paragraph" w:styleId="Fuzeile">
    <w:name w:val="footer"/>
    <w:basedOn w:val="Standard"/>
    <w:link w:val="FuzeileZchn"/>
    <w:uiPriority w:val="99"/>
    <w:unhideWhenUsed/>
    <w:rsid w:val="00CB223F"/>
    <w:pPr>
      <w:tabs>
        <w:tab w:val="center" w:pos="4536"/>
        <w:tab w:val="right" w:pos="9072"/>
      </w:tabs>
      <w:spacing w:after="0"/>
    </w:pPr>
  </w:style>
  <w:style w:type="character" w:customStyle="1" w:styleId="FuzeileZchn">
    <w:name w:val="Fußzeile Zchn"/>
    <w:link w:val="Fuzeile"/>
    <w:uiPriority w:val="99"/>
    <w:rsid w:val="00CB223F"/>
    <w:rPr>
      <w:sz w:val="24"/>
    </w:rPr>
  </w:style>
  <w:style w:type="paragraph" w:customStyle="1" w:styleId="NameofEvent">
    <w:name w:val="Name of Event"/>
    <w:next w:val="Standard"/>
    <w:qFormat/>
    <w:rsid w:val="00254017"/>
    <w:pPr>
      <w:spacing w:after="100"/>
      <w:outlineLvl w:val="0"/>
    </w:pPr>
    <w:rPr>
      <w:rFonts w:ascii="Trebuchet MS Bold" w:hAnsi="Trebuchet MS Bold"/>
      <w:color w:val="262727"/>
      <w:sz w:val="24"/>
      <w:szCs w:val="24"/>
      <w:lang w:val="de-DE" w:eastAsia="en-US"/>
    </w:rPr>
  </w:style>
  <w:style w:type="paragraph" w:customStyle="1" w:styleId="DatenofEvent">
    <w:name w:val="Daten of Event"/>
    <w:next w:val="Standard"/>
    <w:qFormat/>
    <w:rsid w:val="001C1F56"/>
    <w:pPr>
      <w:pBdr>
        <w:bottom w:val="single" w:sz="4" w:space="1" w:color="003777"/>
      </w:pBdr>
      <w:spacing w:after="200"/>
    </w:pPr>
    <w:rPr>
      <w:rFonts w:ascii="Arial" w:hAnsi="Arial"/>
      <w:color w:val="262727"/>
      <w:sz w:val="18"/>
      <w:szCs w:val="24"/>
      <w:lang w:val="de-DE" w:eastAsia="en-US"/>
    </w:rPr>
  </w:style>
  <w:style w:type="paragraph" w:customStyle="1" w:styleId="NameofEventDate">
    <w:name w:val="Name of Event Date"/>
    <w:qFormat/>
    <w:rsid w:val="00254017"/>
    <w:pPr>
      <w:pBdr>
        <w:bottom w:val="single" w:sz="4" w:space="1" w:color="003777"/>
      </w:pBdr>
      <w:spacing w:after="200"/>
    </w:pPr>
    <w:rPr>
      <w:rFonts w:ascii="Trebuchet MS" w:hAnsi="Trebuchet MS"/>
      <w:color w:val="262727"/>
      <w:sz w:val="18"/>
      <w:szCs w:val="24"/>
      <w:lang w:val="de-DE" w:eastAsia="en-US"/>
    </w:rPr>
  </w:style>
  <w:style w:type="paragraph" w:styleId="Sprechblasentext">
    <w:name w:val="Balloon Text"/>
    <w:basedOn w:val="Standard"/>
    <w:link w:val="SprechblasentextZchn"/>
    <w:rsid w:val="00BB0EEE"/>
    <w:pPr>
      <w:spacing w:after="0"/>
    </w:pPr>
    <w:rPr>
      <w:rFonts w:ascii="Tahoma" w:hAnsi="Tahoma" w:cs="Tahoma"/>
      <w:sz w:val="16"/>
      <w:szCs w:val="16"/>
    </w:rPr>
  </w:style>
  <w:style w:type="character" w:customStyle="1" w:styleId="SprechblasentextZchn">
    <w:name w:val="Sprechblasentext Zchn"/>
    <w:link w:val="Sprechblasentext"/>
    <w:rsid w:val="00BB0EEE"/>
    <w:rPr>
      <w:rFonts w:ascii="Tahoma" w:hAnsi="Tahoma" w:cs="Tahoma"/>
      <w:sz w:val="16"/>
      <w:szCs w:val="16"/>
      <w:lang w:eastAsia="en-US"/>
    </w:rPr>
  </w:style>
  <w:style w:type="paragraph" w:customStyle="1" w:styleId="maufzhlungabc">
    <w:name w:val="m_aufzählung_abc"/>
    <w:rsid w:val="00C34866"/>
    <w:pPr>
      <w:numPr>
        <w:numId w:val="13"/>
      </w:numPr>
      <w:tabs>
        <w:tab w:val="clear" w:pos="644"/>
        <w:tab w:val="left" w:pos="567"/>
      </w:tabs>
      <w:spacing w:before="60" w:line="220" w:lineRule="atLeast"/>
      <w:ind w:left="568" w:hanging="284"/>
      <w:jc w:val="both"/>
    </w:pPr>
    <w:rPr>
      <w:rFonts w:ascii="Arial" w:eastAsia="Times New Roman" w:hAnsi="Arial"/>
      <w:sz w:val="18"/>
      <w:lang w:eastAsia="de-DE"/>
    </w:rPr>
  </w:style>
  <w:style w:type="paragraph" w:customStyle="1" w:styleId="tablelinks">
    <w:name w:val="table_links"/>
    <w:rsid w:val="00C34866"/>
    <w:pPr>
      <w:suppressAutoHyphens/>
      <w:spacing w:before="40" w:after="40"/>
    </w:pPr>
    <w:rPr>
      <w:rFonts w:ascii="Arial" w:eastAsia="Times New Roman" w:hAnsi="Arial"/>
      <w:color w:val="808080"/>
      <w:sz w:val="16"/>
      <w:lang w:eastAsia="de-DE"/>
    </w:rPr>
  </w:style>
  <w:style w:type="paragraph" w:customStyle="1" w:styleId="mberschrift1">
    <w:name w:val="m_Überschrift 1"/>
    <w:next w:val="Standard"/>
    <w:rsid w:val="00C34866"/>
    <w:pPr>
      <w:keepNext/>
      <w:keepLines/>
      <w:framePr w:hSpace="142" w:vSpace="142" w:wrap="around" w:vAnchor="page" w:hAnchor="margin" w:y="1532"/>
      <w:numPr>
        <w:numId w:val="14"/>
      </w:numPr>
      <w:pBdr>
        <w:left w:val="single" w:sz="48" w:space="8" w:color="33CCCC"/>
      </w:pBdr>
      <w:tabs>
        <w:tab w:val="clear" w:pos="474"/>
        <w:tab w:val="left" w:pos="227"/>
      </w:tabs>
      <w:spacing w:before="60" w:after="20"/>
      <w:ind w:left="227" w:hanging="227"/>
      <w:outlineLvl w:val="0"/>
    </w:pPr>
    <w:rPr>
      <w:rFonts w:ascii="Arial" w:eastAsia="Times New Roman" w:hAnsi="Arial"/>
      <w:b/>
      <w:sz w:val="24"/>
      <w:lang w:eastAsia="de-DE"/>
    </w:rPr>
  </w:style>
  <w:style w:type="paragraph" w:customStyle="1" w:styleId="mberschrift2">
    <w:name w:val="m_Überschrift 2"/>
    <w:next w:val="Standard"/>
    <w:rsid w:val="00C34866"/>
    <w:pPr>
      <w:keepNext/>
      <w:keepLines/>
      <w:numPr>
        <w:ilvl w:val="1"/>
        <w:numId w:val="14"/>
      </w:numPr>
      <w:spacing w:before="240" w:after="140" w:line="260" w:lineRule="exact"/>
      <w:outlineLvl w:val="1"/>
    </w:pPr>
    <w:rPr>
      <w:rFonts w:ascii="Arial" w:eastAsia="Times New Roman" w:hAnsi="Arial"/>
      <w:b/>
      <w:sz w:val="22"/>
      <w:lang w:eastAsia="de-DE"/>
    </w:rPr>
  </w:style>
  <w:style w:type="paragraph" w:customStyle="1" w:styleId="mberschrift3">
    <w:name w:val="m_Überschrift 3"/>
    <w:next w:val="Standard"/>
    <w:rsid w:val="00C34866"/>
    <w:pPr>
      <w:keepNext/>
      <w:keepLines/>
      <w:numPr>
        <w:ilvl w:val="2"/>
        <w:numId w:val="14"/>
      </w:numPr>
      <w:tabs>
        <w:tab w:val="clear" w:pos="720"/>
        <w:tab w:val="left" w:pos="567"/>
      </w:tabs>
      <w:spacing w:before="240" w:after="140" w:line="240" w:lineRule="exact"/>
      <w:ind w:left="567" w:hanging="567"/>
      <w:outlineLvl w:val="2"/>
    </w:pPr>
    <w:rPr>
      <w:rFonts w:ascii="Arial" w:eastAsia="Times New Roman" w:hAnsi="Arial"/>
      <w:b/>
      <w:color w:val="5F5F5F"/>
      <w:lang w:eastAsia="de-DE"/>
    </w:rPr>
  </w:style>
  <w:style w:type="paragraph" w:customStyle="1" w:styleId="mberschrift4">
    <w:name w:val="m_Überschrift 4"/>
    <w:next w:val="Standard"/>
    <w:rsid w:val="00C34866"/>
    <w:pPr>
      <w:keepNext/>
      <w:keepLines/>
      <w:numPr>
        <w:ilvl w:val="3"/>
        <w:numId w:val="14"/>
      </w:numPr>
      <w:tabs>
        <w:tab w:val="clear" w:pos="1080"/>
        <w:tab w:val="left" w:pos="680"/>
      </w:tabs>
      <w:spacing w:before="240" w:after="140"/>
      <w:ind w:left="680" w:hanging="680"/>
      <w:outlineLvl w:val="3"/>
    </w:pPr>
    <w:rPr>
      <w:rFonts w:ascii="Arial" w:eastAsia="Times New Roman" w:hAnsi="Arial"/>
      <w:b/>
      <w:color w:val="5F5F5F"/>
      <w:sz w:val="18"/>
      <w:lang w:val="de-DE" w:eastAsia="de-DE"/>
    </w:rPr>
  </w:style>
  <w:style w:type="character" w:styleId="Hyperlink">
    <w:name w:val="Hyperlink"/>
    <w:rsid w:val="002B09B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Standard">
    <w:name w:val="Normal"/>
    <w:qFormat/>
    <w:rsid w:val="00CE19A2"/>
    <w:pPr>
      <w:spacing w:after="200"/>
    </w:pPr>
    <w:rPr>
      <w:rFonts w:ascii="Trebuchet MS" w:hAnsi="Trebuchet MS"/>
      <w:sz w:val="24"/>
      <w:szCs w:val="24"/>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1333BE"/>
  </w:style>
  <w:style w:type="character" w:customStyle="1" w:styleId="Text">
    <w:name w:val="Text"/>
    <w:rsid w:val="001333BE"/>
    <w:rPr>
      <w:rFonts w:ascii="Helvetica" w:hAnsi="Helvetica"/>
      <w:dstrike w:val="0"/>
      <w:color w:val="0F3277"/>
      <w:spacing w:val="0"/>
      <w:kern w:val="0"/>
      <w:position w:val="0"/>
      <w:sz w:val="20"/>
      <w:vertAlign w:val="baseline"/>
    </w:rPr>
  </w:style>
  <w:style w:type="character" w:customStyle="1" w:styleId="TableHeadline">
    <w:name w:val="Table Headline"/>
    <w:rsid w:val="001333BE"/>
    <w:rPr>
      <w:rFonts w:ascii="Helvetica" w:hAnsi="Helvetica"/>
      <w:b/>
      <w:dstrike w:val="0"/>
      <w:color w:val="FFFFFF"/>
      <w:spacing w:val="0"/>
      <w:kern w:val="0"/>
      <w:position w:val="0"/>
      <w:sz w:val="20"/>
      <w:u w:val="none"/>
      <w:vertAlign w:val="baseline"/>
    </w:rPr>
  </w:style>
  <w:style w:type="paragraph" w:customStyle="1" w:styleId="Headline">
    <w:name w:val="Headline"/>
    <w:basedOn w:val="Head1Line"/>
    <w:next w:val="Standard"/>
    <w:rsid w:val="00254017"/>
    <w:rPr>
      <w:rFonts w:ascii="Trebuchet MS Bold" w:hAnsi="Trebuchet MS Bold"/>
      <w:color w:val="003777"/>
    </w:rPr>
  </w:style>
  <w:style w:type="paragraph" w:customStyle="1" w:styleId="HeadDescription1Line">
    <w:name w:val="Head Description 1. Line"/>
    <w:rsid w:val="001333BE"/>
    <w:pPr>
      <w:tabs>
        <w:tab w:val="left" w:pos="1418"/>
      </w:tabs>
      <w:spacing w:after="200"/>
    </w:pPr>
    <w:rPr>
      <w:rFonts w:ascii="Helvetica" w:hAnsi="Helvetica"/>
      <w:b/>
      <w:noProof/>
      <w:color w:val="CC006B"/>
      <w:sz w:val="19"/>
      <w:szCs w:val="24"/>
      <w:lang w:val="de-DE" w:eastAsia="de-DE"/>
    </w:rPr>
  </w:style>
  <w:style w:type="character" w:customStyle="1" w:styleId="HeadText1Line">
    <w:name w:val="Head Text 1. Line"/>
    <w:rsid w:val="001333BE"/>
    <w:rPr>
      <w:rFonts w:ascii="Helvetica" w:hAnsi="Helvetica"/>
      <w:dstrike w:val="0"/>
      <w:color w:val="CC006B"/>
      <w:spacing w:val="0"/>
      <w:w w:val="100"/>
      <w:kern w:val="0"/>
      <w:position w:val="0"/>
      <w:sz w:val="19"/>
      <w:u w:val="none"/>
      <w:vertAlign w:val="baseline"/>
    </w:rPr>
  </w:style>
  <w:style w:type="character" w:customStyle="1" w:styleId="HeadDescriptionFollowlines">
    <w:name w:val="Head Description Followlines"/>
    <w:rsid w:val="001333BE"/>
    <w:rPr>
      <w:rFonts w:ascii="Helvetica" w:hAnsi="Helvetica"/>
      <w:b/>
      <w:dstrike w:val="0"/>
      <w:color w:val="0F3277"/>
      <w:spacing w:val="0"/>
      <w:w w:val="100"/>
      <w:kern w:val="0"/>
      <w:position w:val="0"/>
      <w:sz w:val="19"/>
      <w:vertAlign w:val="baseline"/>
    </w:rPr>
  </w:style>
  <w:style w:type="character" w:customStyle="1" w:styleId="HeadTextFollowlines">
    <w:name w:val="Head Text Followlines"/>
    <w:rsid w:val="001333BE"/>
    <w:rPr>
      <w:rFonts w:ascii="Helvetica" w:hAnsi="Helvetica"/>
      <w:dstrike w:val="0"/>
      <w:color w:val="0F3277"/>
      <w:spacing w:val="0"/>
      <w:w w:val="100"/>
      <w:kern w:val="0"/>
      <w:position w:val="0"/>
      <w:sz w:val="19"/>
      <w:u w:val="none"/>
      <w:vertAlign w:val="baseline"/>
    </w:rPr>
  </w:style>
  <w:style w:type="paragraph" w:customStyle="1" w:styleId="Head1Line">
    <w:name w:val="Head 1. Line"/>
    <w:basedOn w:val="Standard"/>
    <w:rsid w:val="00CE46C8"/>
    <w:pPr>
      <w:outlineLvl w:val="0"/>
    </w:pPr>
    <w:rPr>
      <w:rFonts w:ascii="ArialBold" w:hAnsi="ArialBold"/>
      <w:color w:val="262727"/>
      <w:sz w:val="60"/>
    </w:rPr>
  </w:style>
  <w:style w:type="paragraph" w:customStyle="1" w:styleId="HeadFollowLines">
    <w:name w:val="Head Follow Lines"/>
    <w:basedOn w:val="Head1Line"/>
    <w:rsid w:val="001333BE"/>
    <w:rPr>
      <w:color w:val="0F3277"/>
    </w:rPr>
  </w:style>
  <w:style w:type="paragraph" w:customStyle="1" w:styleId="Headline2">
    <w:name w:val="Headline 2"/>
    <w:basedOn w:val="Standard"/>
    <w:rsid w:val="008A7A8C"/>
    <w:pPr>
      <w:tabs>
        <w:tab w:val="left" w:pos="1843"/>
      </w:tabs>
      <w:ind w:left="1843" w:hanging="1843"/>
    </w:pPr>
    <w:rPr>
      <w:rFonts w:ascii="Trebuchet MS Bold" w:hAnsi="Trebuchet MS Bold"/>
      <w:color w:val="262727"/>
      <w:sz w:val="32"/>
    </w:rPr>
  </w:style>
  <w:style w:type="paragraph" w:customStyle="1" w:styleId="TextAgenda">
    <w:name w:val="Text Agenda"/>
    <w:rsid w:val="001333BE"/>
    <w:pPr>
      <w:tabs>
        <w:tab w:val="left" w:pos="1418"/>
      </w:tabs>
      <w:spacing w:after="200"/>
    </w:pPr>
    <w:rPr>
      <w:rFonts w:ascii="Helvetica" w:hAnsi="Helvetica"/>
      <w:noProof/>
      <w:color w:val="0F3277"/>
      <w:sz w:val="19"/>
      <w:szCs w:val="24"/>
      <w:lang w:val="de-DE" w:eastAsia="de-DE"/>
    </w:rPr>
  </w:style>
  <w:style w:type="paragraph" w:customStyle="1" w:styleId="BulletSquare">
    <w:name w:val="Bullet Square"/>
    <w:rsid w:val="001333BE"/>
    <w:pPr>
      <w:numPr>
        <w:numId w:val="1"/>
      </w:numPr>
      <w:tabs>
        <w:tab w:val="left" w:pos="284"/>
      </w:tabs>
      <w:spacing w:after="200"/>
    </w:pPr>
    <w:rPr>
      <w:noProof/>
      <w:sz w:val="24"/>
      <w:szCs w:val="24"/>
      <w:lang w:val="de-DE" w:eastAsia="de-DE"/>
    </w:rPr>
  </w:style>
  <w:style w:type="paragraph" w:customStyle="1" w:styleId="BulletNormal">
    <w:name w:val="Bullet Normal"/>
    <w:rsid w:val="001333BE"/>
    <w:pPr>
      <w:numPr>
        <w:numId w:val="2"/>
      </w:numPr>
      <w:tabs>
        <w:tab w:val="left" w:pos="567"/>
      </w:tabs>
      <w:spacing w:after="200"/>
    </w:pPr>
    <w:rPr>
      <w:noProof/>
      <w:sz w:val="24"/>
      <w:szCs w:val="24"/>
      <w:lang w:val="de-DE" w:eastAsia="de-DE"/>
    </w:rPr>
  </w:style>
  <w:style w:type="table" w:styleId="Tabellenraster">
    <w:name w:val="Table Grid"/>
    <w:basedOn w:val="NormaleTabelle"/>
    <w:uiPriority w:val="59"/>
    <w:rsid w:val="005F717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arbigeListe-Akzent11">
    <w:name w:val="Farbige Liste - Akzent 11"/>
    <w:basedOn w:val="Standard"/>
    <w:uiPriority w:val="34"/>
    <w:qFormat/>
    <w:rsid w:val="00310CA6"/>
    <w:pPr>
      <w:ind w:left="720"/>
      <w:contextualSpacing/>
    </w:pPr>
  </w:style>
  <w:style w:type="paragraph" w:customStyle="1" w:styleId="DateandVenue">
    <w:name w:val="Date and Venue"/>
    <w:next w:val="Standard"/>
    <w:autoRedefine/>
    <w:qFormat/>
    <w:rsid w:val="008A7A8C"/>
    <w:pPr>
      <w:tabs>
        <w:tab w:val="left" w:pos="1843"/>
      </w:tabs>
      <w:spacing w:after="100"/>
      <w:ind w:left="1843" w:hanging="1843"/>
    </w:pPr>
    <w:rPr>
      <w:rFonts w:ascii="Trebuchet MS Bold" w:hAnsi="Trebuchet MS Bold"/>
      <w:color w:val="003777"/>
      <w:sz w:val="22"/>
      <w:szCs w:val="24"/>
      <w:lang w:val="de-DE" w:eastAsia="en-US"/>
    </w:rPr>
  </w:style>
  <w:style w:type="paragraph" w:customStyle="1" w:styleId="Entry1withLine">
    <w:name w:val="Entry 1 with Line"/>
    <w:next w:val="Standard"/>
    <w:qFormat/>
    <w:rsid w:val="008A7A8C"/>
    <w:pPr>
      <w:pBdr>
        <w:bottom w:val="single" w:sz="4" w:space="10" w:color="262727"/>
        <w:between w:val="single" w:sz="4" w:space="1" w:color="262727"/>
      </w:pBdr>
      <w:tabs>
        <w:tab w:val="left" w:pos="1843"/>
        <w:tab w:val="left" w:pos="2124"/>
        <w:tab w:val="left" w:pos="2832"/>
        <w:tab w:val="left" w:pos="6980"/>
      </w:tabs>
      <w:spacing w:after="200"/>
    </w:pPr>
    <w:rPr>
      <w:rFonts w:ascii="Trebuchet MS" w:hAnsi="Trebuchet MS"/>
      <w:color w:val="262727"/>
      <w:sz w:val="22"/>
      <w:szCs w:val="24"/>
      <w:lang w:val="de-DE" w:eastAsia="en-US"/>
    </w:rPr>
  </w:style>
  <w:style w:type="paragraph" w:customStyle="1" w:styleId="Entry1">
    <w:name w:val="Entry 1"/>
    <w:next w:val="Standard"/>
    <w:qFormat/>
    <w:rsid w:val="008A7A8C"/>
    <w:pPr>
      <w:tabs>
        <w:tab w:val="left" w:pos="1843"/>
      </w:tabs>
      <w:spacing w:after="100"/>
    </w:pPr>
    <w:rPr>
      <w:rFonts w:ascii="Trebuchet MS" w:hAnsi="Trebuchet MS"/>
      <w:color w:val="262727"/>
      <w:sz w:val="22"/>
      <w:szCs w:val="24"/>
      <w:lang w:val="de-DE" w:eastAsia="en-US"/>
    </w:rPr>
  </w:style>
  <w:style w:type="paragraph" w:customStyle="1" w:styleId="Entry1withBullet">
    <w:name w:val="Entry 1 with Bullet"/>
    <w:next w:val="Standard"/>
    <w:qFormat/>
    <w:rsid w:val="00EE7687"/>
    <w:pPr>
      <w:numPr>
        <w:numId w:val="3"/>
      </w:numPr>
      <w:tabs>
        <w:tab w:val="left" w:pos="1843"/>
      </w:tabs>
      <w:spacing w:after="200"/>
      <w:ind w:left="2268" w:hanging="433"/>
    </w:pPr>
    <w:rPr>
      <w:rFonts w:ascii="Trebuchet MS Bold" w:hAnsi="Trebuchet MS Bold"/>
      <w:color w:val="262727"/>
      <w:sz w:val="22"/>
      <w:szCs w:val="24"/>
      <w:lang w:val="de-DE" w:eastAsia="en-US"/>
    </w:rPr>
  </w:style>
  <w:style w:type="paragraph" w:styleId="Kopfzeile">
    <w:name w:val="header"/>
    <w:basedOn w:val="Standard"/>
    <w:link w:val="KopfzeileZchn"/>
    <w:uiPriority w:val="99"/>
    <w:unhideWhenUsed/>
    <w:rsid w:val="00CB223F"/>
    <w:pPr>
      <w:tabs>
        <w:tab w:val="center" w:pos="4536"/>
        <w:tab w:val="right" w:pos="9072"/>
      </w:tabs>
      <w:spacing w:after="0"/>
    </w:pPr>
  </w:style>
  <w:style w:type="character" w:customStyle="1" w:styleId="KopfzeileZchn">
    <w:name w:val="Kopfzeile Zchn"/>
    <w:link w:val="Kopfzeile"/>
    <w:uiPriority w:val="99"/>
    <w:rsid w:val="00CB223F"/>
    <w:rPr>
      <w:sz w:val="24"/>
    </w:rPr>
  </w:style>
  <w:style w:type="paragraph" w:styleId="Fuzeile">
    <w:name w:val="footer"/>
    <w:basedOn w:val="Standard"/>
    <w:link w:val="FuzeileZchn"/>
    <w:uiPriority w:val="99"/>
    <w:unhideWhenUsed/>
    <w:rsid w:val="00CB223F"/>
    <w:pPr>
      <w:tabs>
        <w:tab w:val="center" w:pos="4536"/>
        <w:tab w:val="right" w:pos="9072"/>
      </w:tabs>
      <w:spacing w:after="0"/>
    </w:pPr>
  </w:style>
  <w:style w:type="character" w:customStyle="1" w:styleId="FuzeileZchn">
    <w:name w:val="Fußzeile Zchn"/>
    <w:link w:val="Fuzeile"/>
    <w:uiPriority w:val="99"/>
    <w:rsid w:val="00CB223F"/>
    <w:rPr>
      <w:sz w:val="24"/>
    </w:rPr>
  </w:style>
  <w:style w:type="paragraph" w:customStyle="1" w:styleId="NameofEvent">
    <w:name w:val="Name of Event"/>
    <w:next w:val="Standard"/>
    <w:qFormat/>
    <w:rsid w:val="00254017"/>
    <w:pPr>
      <w:spacing w:after="100"/>
      <w:outlineLvl w:val="0"/>
    </w:pPr>
    <w:rPr>
      <w:rFonts w:ascii="Trebuchet MS Bold" w:hAnsi="Trebuchet MS Bold"/>
      <w:color w:val="262727"/>
      <w:sz w:val="24"/>
      <w:szCs w:val="24"/>
      <w:lang w:val="de-DE" w:eastAsia="en-US"/>
    </w:rPr>
  </w:style>
  <w:style w:type="paragraph" w:customStyle="1" w:styleId="DatenofEvent">
    <w:name w:val="Daten of Event"/>
    <w:next w:val="Standard"/>
    <w:qFormat/>
    <w:rsid w:val="001C1F56"/>
    <w:pPr>
      <w:pBdr>
        <w:bottom w:val="single" w:sz="4" w:space="1" w:color="003777"/>
      </w:pBdr>
      <w:spacing w:after="200"/>
    </w:pPr>
    <w:rPr>
      <w:rFonts w:ascii="Arial" w:hAnsi="Arial"/>
      <w:color w:val="262727"/>
      <w:sz w:val="18"/>
      <w:szCs w:val="24"/>
      <w:lang w:val="de-DE" w:eastAsia="en-US"/>
    </w:rPr>
  </w:style>
  <w:style w:type="paragraph" w:customStyle="1" w:styleId="NameofEventDate">
    <w:name w:val="Name of Event Date"/>
    <w:qFormat/>
    <w:rsid w:val="00254017"/>
    <w:pPr>
      <w:pBdr>
        <w:bottom w:val="single" w:sz="4" w:space="1" w:color="003777"/>
      </w:pBdr>
      <w:spacing w:after="200"/>
    </w:pPr>
    <w:rPr>
      <w:rFonts w:ascii="Trebuchet MS" w:hAnsi="Trebuchet MS"/>
      <w:color w:val="262727"/>
      <w:sz w:val="18"/>
      <w:szCs w:val="24"/>
      <w:lang w:val="de-DE" w:eastAsia="en-US"/>
    </w:rPr>
  </w:style>
  <w:style w:type="paragraph" w:styleId="Sprechblasentext">
    <w:name w:val="Balloon Text"/>
    <w:basedOn w:val="Standard"/>
    <w:link w:val="SprechblasentextZchn"/>
    <w:rsid w:val="00BB0EEE"/>
    <w:pPr>
      <w:spacing w:after="0"/>
    </w:pPr>
    <w:rPr>
      <w:rFonts w:ascii="Tahoma" w:hAnsi="Tahoma" w:cs="Tahoma"/>
      <w:sz w:val="16"/>
      <w:szCs w:val="16"/>
    </w:rPr>
  </w:style>
  <w:style w:type="character" w:customStyle="1" w:styleId="SprechblasentextZchn">
    <w:name w:val="Sprechblasentext Zchn"/>
    <w:link w:val="Sprechblasentext"/>
    <w:rsid w:val="00BB0EEE"/>
    <w:rPr>
      <w:rFonts w:ascii="Tahoma" w:hAnsi="Tahoma" w:cs="Tahoma"/>
      <w:sz w:val="16"/>
      <w:szCs w:val="16"/>
      <w:lang w:eastAsia="en-US"/>
    </w:rPr>
  </w:style>
  <w:style w:type="paragraph" w:customStyle="1" w:styleId="maufzhlungabc">
    <w:name w:val="m_aufzählung_abc"/>
    <w:rsid w:val="00C34866"/>
    <w:pPr>
      <w:numPr>
        <w:numId w:val="13"/>
      </w:numPr>
      <w:tabs>
        <w:tab w:val="clear" w:pos="644"/>
        <w:tab w:val="left" w:pos="567"/>
      </w:tabs>
      <w:spacing w:before="60" w:line="220" w:lineRule="atLeast"/>
      <w:ind w:left="568" w:hanging="284"/>
      <w:jc w:val="both"/>
    </w:pPr>
    <w:rPr>
      <w:rFonts w:ascii="Arial" w:eastAsia="Times New Roman" w:hAnsi="Arial"/>
      <w:sz w:val="18"/>
      <w:lang w:eastAsia="de-DE"/>
    </w:rPr>
  </w:style>
  <w:style w:type="paragraph" w:customStyle="1" w:styleId="tablelinks">
    <w:name w:val="table_links"/>
    <w:rsid w:val="00C34866"/>
    <w:pPr>
      <w:suppressAutoHyphens/>
      <w:spacing w:before="40" w:after="40"/>
    </w:pPr>
    <w:rPr>
      <w:rFonts w:ascii="Arial" w:eastAsia="Times New Roman" w:hAnsi="Arial"/>
      <w:color w:val="808080"/>
      <w:sz w:val="16"/>
      <w:lang w:eastAsia="de-DE"/>
    </w:rPr>
  </w:style>
  <w:style w:type="paragraph" w:customStyle="1" w:styleId="mberschrift1">
    <w:name w:val="m_Überschrift 1"/>
    <w:next w:val="Standard"/>
    <w:rsid w:val="00C34866"/>
    <w:pPr>
      <w:keepNext/>
      <w:keepLines/>
      <w:framePr w:hSpace="142" w:vSpace="142" w:wrap="around" w:vAnchor="page" w:hAnchor="margin" w:y="1532"/>
      <w:numPr>
        <w:numId w:val="14"/>
      </w:numPr>
      <w:pBdr>
        <w:left w:val="single" w:sz="48" w:space="8" w:color="33CCCC"/>
      </w:pBdr>
      <w:tabs>
        <w:tab w:val="clear" w:pos="474"/>
        <w:tab w:val="left" w:pos="227"/>
      </w:tabs>
      <w:spacing w:before="60" w:after="20"/>
      <w:ind w:left="227" w:hanging="227"/>
      <w:outlineLvl w:val="0"/>
    </w:pPr>
    <w:rPr>
      <w:rFonts w:ascii="Arial" w:eastAsia="Times New Roman" w:hAnsi="Arial"/>
      <w:b/>
      <w:sz w:val="24"/>
      <w:lang w:eastAsia="de-DE"/>
    </w:rPr>
  </w:style>
  <w:style w:type="paragraph" w:customStyle="1" w:styleId="mberschrift2">
    <w:name w:val="m_Überschrift 2"/>
    <w:next w:val="Standard"/>
    <w:rsid w:val="00C34866"/>
    <w:pPr>
      <w:keepNext/>
      <w:keepLines/>
      <w:numPr>
        <w:ilvl w:val="1"/>
        <w:numId w:val="14"/>
      </w:numPr>
      <w:spacing w:before="240" w:after="140" w:line="260" w:lineRule="exact"/>
      <w:outlineLvl w:val="1"/>
    </w:pPr>
    <w:rPr>
      <w:rFonts w:ascii="Arial" w:eastAsia="Times New Roman" w:hAnsi="Arial"/>
      <w:b/>
      <w:sz w:val="22"/>
      <w:lang w:eastAsia="de-DE"/>
    </w:rPr>
  </w:style>
  <w:style w:type="paragraph" w:customStyle="1" w:styleId="mberschrift3">
    <w:name w:val="m_Überschrift 3"/>
    <w:next w:val="Standard"/>
    <w:rsid w:val="00C34866"/>
    <w:pPr>
      <w:keepNext/>
      <w:keepLines/>
      <w:numPr>
        <w:ilvl w:val="2"/>
        <w:numId w:val="14"/>
      </w:numPr>
      <w:tabs>
        <w:tab w:val="clear" w:pos="720"/>
        <w:tab w:val="left" w:pos="567"/>
      </w:tabs>
      <w:spacing w:before="240" w:after="140" w:line="240" w:lineRule="exact"/>
      <w:ind w:left="567" w:hanging="567"/>
      <w:outlineLvl w:val="2"/>
    </w:pPr>
    <w:rPr>
      <w:rFonts w:ascii="Arial" w:eastAsia="Times New Roman" w:hAnsi="Arial"/>
      <w:b/>
      <w:color w:val="5F5F5F"/>
      <w:lang w:eastAsia="de-DE"/>
    </w:rPr>
  </w:style>
  <w:style w:type="paragraph" w:customStyle="1" w:styleId="mberschrift4">
    <w:name w:val="m_Überschrift 4"/>
    <w:next w:val="Standard"/>
    <w:rsid w:val="00C34866"/>
    <w:pPr>
      <w:keepNext/>
      <w:keepLines/>
      <w:numPr>
        <w:ilvl w:val="3"/>
        <w:numId w:val="14"/>
      </w:numPr>
      <w:tabs>
        <w:tab w:val="clear" w:pos="1080"/>
        <w:tab w:val="left" w:pos="680"/>
      </w:tabs>
      <w:spacing w:before="240" w:after="140"/>
      <w:ind w:left="680" w:hanging="680"/>
      <w:outlineLvl w:val="3"/>
    </w:pPr>
    <w:rPr>
      <w:rFonts w:ascii="Arial" w:eastAsia="Times New Roman" w:hAnsi="Arial"/>
      <w:b/>
      <w:color w:val="5F5F5F"/>
      <w:sz w:val="18"/>
      <w:lang w:val="de-DE" w:eastAsia="de-DE"/>
    </w:rPr>
  </w:style>
  <w:style w:type="character" w:styleId="Hyperlink">
    <w:name w:val="Hyperlink"/>
    <w:rsid w:val="002B09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help.gv.at"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file:///C:\Users\mirtlj\AppData\Local\Microsoft\Windows\Temporary%20Internet%20Files\Content.Outlook\JQ9T1AHP\Cohesion%20policy:%20Strategic%20report%202013"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H:\PRIORITY%20AREA%2010\PA%2010%20GESCH&#196;FTSSTELLE\B&#252;robetrieb\Vorlagen\Vorlagen%20PA10%2007.2013\Memo.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Memo</Template>
  <TotalTime>0</TotalTime>
  <Pages>7</Pages>
  <Words>2907</Words>
  <Characters>18318</Characters>
  <Application>Microsoft Office Word</Application>
  <DocSecurity>0</DocSecurity>
  <Lines>152</Lines>
  <Paragraphs>42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21183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Böhm-Gartner Simone</dc:creator>
  <cp:lastModifiedBy>Böhm-Gartner Simone</cp:lastModifiedBy>
  <cp:revision>2</cp:revision>
  <cp:lastPrinted>2014-04-29T07:21:00Z</cp:lastPrinted>
  <dcterms:created xsi:type="dcterms:W3CDTF">2014-04-29T09:48:00Z</dcterms:created>
  <dcterms:modified xsi:type="dcterms:W3CDTF">2014-04-29T09:48:00Z</dcterms:modified>
</cp:coreProperties>
</file>