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4" w:rsidRPr="00987CE2" w:rsidRDefault="00D40B69" w:rsidP="00FC1B80">
      <w:pPr>
        <w:jc w:val="center"/>
        <w:rPr>
          <w:b/>
          <w:sz w:val="24"/>
          <w:lang w:val="en-GB"/>
        </w:rPr>
      </w:pPr>
      <w:bookmarkStart w:id="0" w:name="_GoBack"/>
      <w:bookmarkEnd w:id="0"/>
      <w:r w:rsidRPr="00987CE2">
        <w:rPr>
          <w:b/>
          <w:sz w:val="24"/>
          <w:lang w:val="en-GB"/>
        </w:rPr>
        <w:t xml:space="preserve">Next steps </w:t>
      </w:r>
      <w:r w:rsidR="00017B62" w:rsidRPr="00987CE2">
        <w:rPr>
          <w:b/>
          <w:sz w:val="24"/>
          <w:lang w:val="en-GB"/>
        </w:rPr>
        <w:t>in the Road Map</w:t>
      </w:r>
      <w:r w:rsidRPr="00987CE2">
        <w:rPr>
          <w:b/>
          <w:sz w:val="24"/>
          <w:lang w:val="en-GB"/>
        </w:rPr>
        <w:t xml:space="preserve">for civil society involvement in the framework of </w:t>
      </w:r>
      <w:r w:rsidR="005A6F74" w:rsidRPr="00987CE2">
        <w:rPr>
          <w:b/>
          <w:sz w:val="24"/>
          <w:lang w:val="en-GB"/>
        </w:rPr>
        <w:t>the EUSDR</w:t>
      </w:r>
      <w:r w:rsidR="004F1C2C" w:rsidRPr="00987CE2">
        <w:rPr>
          <w:rStyle w:val="a5"/>
          <w:b/>
          <w:sz w:val="24"/>
          <w:lang w:val="en-GB"/>
        </w:rPr>
        <w:footnoteReference w:id="2"/>
      </w:r>
    </w:p>
    <w:p w:rsidR="00D40B69" w:rsidRDefault="001F0506" w:rsidP="00FC1B80">
      <w:pPr>
        <w:jc w:val="center"/>
        <w:rPr>
          <w:lang w:val="en-GB"/>
        </w:rPr>
      </w:pPr>
      <w:r>
        <w:rPr>
          <w:lang w:val="en-GB"/>
        </w:rPr>
        <w:t xml:space="preserve">Promoting </w:t>
      </w:r>
      <w:r w:rsidR="00D40B69">
        <w:rPr>
          <w:lang w:val="en-GB"/>
        </w:rPr>
        <w:t>transparency and participation through multilevel governance and project development</w:t>
      </w:r>
      <w:r>
        <w:rPr>
          <w:lang w:val="en-GB"/>
        </w:rPr>
        <w:t xml:space="preserve"> in the Danube Region</w:t>
      </w:r>
    </w:p>
    <w:p w:rsidR="005003B4" w:rsidRPr="005003B4" w:rsidRDefault="00834CE7" w:rsidP="00FC1B80">
      <w:pPr>
        <w:pStyle w:val="a7"/>
        <w:numPr>
          <w:ilvl w:val="0"/>
          <w:numId w:val="15"/>
        </w:numPr>
        <w:jc w:val="both"/>
        <w:rPr>
          <w:b/>
          <w:i/>
          <w:sz w:val="28"/>
          <w:lang w:val="en-GB"/>
        </w:rPr>
      </w:pPr>
      <w:r>
        <w:rPr>
          <w:b/>
          <w:i/>
          <w:sz w:val="28"/>
          <w:lang w:val="en-GB"/>
        </w:rPr>
        <w:t>What has already ha</w:t>
      </w:r>
      <w:r w:rsidR="005003B4" w:rsidRPr="005003B4">
        <w:rPr>
          <w:b/>
          <w:i/>
          <w:sz w:val="28"/>
          <w:lang w:val="en-GB"/>
        </w:rPr>
        <w:t>p</w:t>
      </w:r>
      <w:r w:rsidR="00D2526A">
        <w:rPr>
          <w:b/>
          <w:i/>
          <w:sz w:val="28"/>
          <w:lang w:val="en-GB"/>
        </w:rPr>
        <w:t>p</w:t>
      </w:r>
      <w:r w:rsidR="005003B4" w:rsidRPr="005003B4">
        <w:rPr>
          <w:b/>
          <w:i/>
          <w:sz w:val="28"/>
          <w:lang w:val="en-GB"/>
        </w:rPr>
        <w:t>ened</w:t>
      </w:r>
    </w:p>
    <w:p w:rsidR="004F1C2C" w:rsidRDefault="004F1C2C" w:rsidP="00FC1B80">
      <w:pPr>
        <w:jc w:val="both"/>
        <w:rPr>
          <w:lang w:val="en-GB"/>
        </w:rPr>
      </w:pPr>
      <w:r>
        <w:rPr>
          <w:lang w:val="en-GB"/>
        </w:rPr>
        <w:t xml:space="preserve">On </w:t>
      </w:r>
      <w:r w:rsidR="005B67B5">
        <w:rPr>
          <w:lang w:val="en-GB"/>
        </w:rPr>
        <w:t>25</w:t>
      </w:r>
      <w:r>
        <w:rPr>
          <w:lang w:val="en-GB"/>
        </w:rPr>
        <w:t xml:space="preserve"> June 2014, the 1</w:t>
      </w:r>
      <w:r w:rsidRPr="004F1C2C">
        <w:rPr>
          <w:vertAlign w:val="superscript"/>
          <w:lang w:val="en-GB"/>
        </w:rPr>
        <w:t>st</w:t>
      </w:r>
      <w:r>
        <w:rPr>
          <w:lang w:val="en-GB"/>
        </w:rPr>
        <w:t xml:space="preserve"> Participation Day of the EUSDR was held in Eisenstadt (Austria), back-to-back with the 3</w:t>
      </w:r>
      <w:r w:rsidRPr="004F1C2C">
        <w:rPr>
          <w:vertAlign w:val="superscript"/>
          <w:lang w:val="en-GB"/>
        </w:rPr>
        <w:t>rd</w:t>
      </w:r>
      <w:r>
        <w:rPr>
          <w:lang w:val="en-GB"/>
        </w:rPr>
        <w:t xml:space="preserve"> Annual Forum of the EUSDR in Vienna</w:t>
      </w:r>
      <w:r w:rsidR="00F443B7">
        <w:rPr>
          <w:lang w:val="en-GB"/>
        </w:rPr>
        <w:t xml:space="preserve">, financed and </w:t>
      </w:r>
      <w:r w:rsidR="00DC683D">
        <w:rPr>
          <w:lang w:val="en-GB"/>
        </w:rPr>
        <w:t xml:space="preserve">organised by the Danube Civil Society </w:t>
      </w:r>
      <w:r w:rsidR="00DC683D" w:rsidRPr="00987CE2">
        <w:rPr>
          <w:lang w:val="en-GB"/>
        </w:rPr>
        <w:t>Forum (DCSF)</w:t>
      </w:r>
      <w:r w:rsidR="00B050DA" w:rsidRPr="00987CE2">
        <w:rPr>
          <w:lang w:val="en-GB"/>
        </w:rPr>
        <w:t>, an umbrella organisation created in order to assemble those NGOs which are interested in contributing to the EUSDR</w:t>
      </w:r>
      <w:r w:rsidRPr="00987CE2">
        <w:rPr>
          <w:lang w:val="en-GB"/>
        </w:rPr>
        <w:t xml:space="preserve">. This meeting gathered a number </w:t>
      </w:r>
      <w:r w:rsidR="008D151F" w:rsidRPr="00987CE2">
        <w:rPr>
          <w:lang w:val="en-GB"/>
        </w:rPr>
        <w:t xml:space="preserve">of civil society representatives </w:t>
      </w:r>
      <w:r w:rsidR="00425C93" w:rsidRPr="00987CE2">
        <w:rPr>
          <w:lang w:val="en-GB"/>
        </w:rPr>
        <w:t xml:space="preserve">and actors from local authorities, academia and culture </w:t>
      </w:r>
      <w:r w:rsidR="00F443B7" w:rsidRPr="00987CE2">
        <w:rPr>
          <w:lang w:val="en-GB"/>
        </w:rPr>
        <w:t xml:space="preserve">(over 150) </w:t>
      </w:r>
      <w:r w:rsidR="008D151F" w:rsidRPr="00987CE2">
        <w:rPr>
          <w:lang w:val="en-GB"/>
        </w:rPr>
        <w:t>from all over the Danube Region</w:t>
      </w:r>
      <w:r w:rsidR="005A6F74" w:rsidRPr="00987CE2">
        <w:rPr>
          <w:lang w:val="en-GB"/>
        </w:rPr>
        <w:t xml:space="preserve">. It </w:t>
      </w:r>
      <w:r w:rsidR="00BD6C01" w:rsidRPr="00987CE2">
        <w:rPr>
          <w:lang w:val="en-GB"/>
        </w:rPr>
        <w:t xml:space="preserve">was supported </w:t>
      </w:r>
      <w:r w:rsidR="00F443B7" w:rsidRPr="00987CE2">
        <w:rPr>
          <w:lang w:val="en-GB"/>
        </w:rPr>
        <w:t xml:space="preserve">and co-financed </w:t>
      </w:r>
      <w:r w:rsidR="00BD6C01" w:rsidRPr="00987CE2">
        <w:rPr>
          <w:lang w:val="en-GB"/>
        </w:rPr>
        <w:t>by Priority Area 10 “Institutional C</w:t>
      </w:r>
      <w:r w:rsidR="00425C93" w:rsidRPr="00987CE2">
        <w:rPr>
          <w:lang w:val="en-GB"/>
        </w:rPr>
        <w:t xml:space="preserve">apacity and Cooperation” (PA10), </w:t>
      </w:r>
      <w:r w:rsidR="00BD6C01" w:rsidRPr="00987CE2">
        <w:rPr>
          <w:lang w:val="en-GB"/>
        </w:rPr>
        <w:t>Priority Area 9 “</w:t>
      </w:r>
      <w:r w:rsidR="00B050DA" w:rsidRPr="00987CE2">
        <w:rPr>
          <w:lang w:val="en-GB"/>
        </w:rPr>
        <w:t>People and Skills” of the EUSDR</w:t>
      </w:r>
      <w:r w:rsidR="00425C93" w:rsidRPr="00987CE2">
        <w:rPr>
          <w:lang w:val="en-GB"/>
        </w:rPr>
        <w:t xml:space="preserve">, </w:t>
      </w:r>
      <w:r w:rsidR="00B050DA" w:rsidRPr="00987CE2">
        <w:rPr>
          <w:lang w:val="en-GB"/>
        </w:rPr>
        <w:t xml:space="preserve">the Austrian National </w:t>
      </w:r>
      <w:r w:rsidR="005A6F74" w:rsidRPr="00987CE2">
        <w:rPr>
          <w:lang w:val="en-GB"/>
        </w:rPr>
        <w:t xml:space="preserve">EUSDR </w:t>
      </w:r>
      <w:r w:rsidR="00B050DA" w:rsidRPr="00987CE2">
        <w:rPr>
          <w:lang w:val="en-GB"/>
        </w:rPr>
        <w:t>Coordinator</w:t>
      </w:r>
      <w:r w:rsidR="00425C93" w:rsidRPr="00987CE2">
        <w:rPr>
          <w:lang w:val="en-GB"/>
        </w:rPr>
        <w:t>, and Foster Europe Foundation.</w:t>
      </w:r>
    </w:p>
    <w:p w:rsidR="007668B9" w:rsidRDefault="007668B9" w:rsidP="00FC1B80">
      <w:pPr>
        <w:jc w:val="both"/>
        <w:rPr>
          <w:lang w:val="en-GB"/>
        </w:rPr>
      </w:pPr>
      <w:r>
        <w:rPr>
          <w:lang w:val="en-GB"/>
        </w:rPr>
        <w:t>The participants of the 1</w:t>
      </w:r>
      <w:r w:rsidRPr="007668B9">
        <w:rPr>
          <w:vertAlign w:val="superscript"/>
          <w:lang w:val="en-GB"/>
        </w:rPr>
        <w:t>st</w:t>
      </w:r>
      <w:r>
        <w:rPr>
          <w:lang w:val="en-GB"/>
        </w:rPr>
        <w:t xml:space="preserve"> Participation Day of the EUSDR </w:t>
      </w:r>
      <w:r w:rsidR="0088348B">
        <w:rPr>
          <w:lang w:val="en-GB"/>
        </w:rPr>
        <w:t xml:space="preserve">have </w:t>
      </w:r>
      <w:r>
        <w:rPr>
          <w:lang w:val="en-GB"/>
        </w:rPr>
        <w:t>adopted</w:t>
      </w:r>
      <w:r w:rsidR="00425C93" w:rsidRPr="00987CE2">
        <w:rPr>
          <w:lang w:val="en-GB"/>
        </w:rPr>
        <w:t>unanimously the Eisenstadt D</w:t>
      </w:r>
      <w:r w:rsidR="005003B4" w:rsidRPr="00987CE2">
        <w:rPr>
          <w:lang w:val="en-GB"/>
        </w:rPr>
        <w:t>eclaration</w:t>
      </w:r>
      <w:r w:rsidR="00425C93" w:rsidRPr="00987CE2">
        <w:rPr>
          <w:lang w:val="en-GB"/>
        </w:rPr>
        <w:t xml:space="preserve"> on Participation in the Danube Strategy</w:t>
      </w:r>
      <w:r w:rsidR="005003B4" w:rsidRPr="00987CE2">
        <w:rPr>
          <w:rStyle w:val="a5"/>
          <w:lang w:val="en-GB"/>
        </w:rPr>
        <w:footnoteReference w:id="3"/>
      </w:r>
      <w:r w:rsidR="005003B4" w:rsidRPr="00987CE2">
        <w:rPr>
          <w:lang w:val="en-GB"/>
        </w:rPr>
        <w:t>, laying down the foundations for civil society participation in the EUSDR</w:t>
      </w:r>
      <w:r w:rsidR="00425C93" w:rsidRPr="00987CE2">
        <w:rPr>
          <w:lang w:val="en-GB"/>
        </w:rPr>
        <w:t>.</w:t>
      </w:r>
      <w:r w:rsidR="00930FC7" w:rsidRPr="00987CE2">
        <w:rPr>
          <w:lang w:val="en-GB"/>
        </w:rPr>
        <w:t xml:space="preserve"> In the declaration, they </w:t>
      </w:r>
      <w:r w:rsidR="00425C93" w:rsidRPr="00987CE2">
        <w:rPr>
          <w:lang w:val="en-GB"/>
        </w:rPr>
        <w:t>presented the Road Map to participation calling</w:t>
      </w:r>
      <w:r w:rsidR="00930FC7" w:rsidRPr="00987CE2">
        <w:rPr>
          <w:lang w:val="en-GB"/>
        </w:rPr>
        <w:t xml:space="preserve"> for the states participating in the EUSDR </w:t>
      </w:r>
      <w:r w:rsidR="00D870BB" w:rsidRPr="00987CE2">
        <w:rPr>
          <w:lang w:val="en-GB"/>
        </w:rPr>
        <w:t xml:space="preserve">to </w:t>
      </w:r>
      <w:r w:rsidR="00425C93" w:rsidRPr="00987CE2">
        <w:rPr>
          <w:lang w:val="en-GB"/>
        </w:rPr>
        <w:t xml:space="preserve">foster participation on the national level and to </w:t>
      </w:r>
      <w:r w:rsidR="00D870BB" w:rsidRPr="00987CE2">
        <w:rPr>
          <w:lang w:val="en-GB"/>
        </w:rPr>
        <w:t xml:space="preserve">hold National Hearings for civil society involvement. The results of these hearings should </w:t>
      </w:r>
      <w:r w:rsidR="00D870BB">
        <w:rPr>
          <w:lang w:val="en-GB"/>
        </w:rPr>
        <w:t>be reported at the Annual Fora of the EUSDR, with the Participation Day becoming a steady component of each Annual Forum. This approach was then elaborated by the DCSF and confirmed by the Advisory Committee of the Danube Local Actors Platform (D-LAP)</w:t>
      </w:r>
      <w:r w:rsidR="005B67B5">
        <w:rPr>
          <w:lang w:val="en-GB"/>
        </w:rPr>
        <w:t xml:space="preserve">, a PA10 body involving civil society actors, </w:t>
      </w:r>
      <w:r w:rsidR="00834CE7" w:rsidRPr="00851560">
        <w:rPr>
          <w:lang w:val="en-GB"/>
        </w:rPr>
        <w:t>social partners,</w:t>
      </w:r>
      <w:r w:rsidR="00075B18">
        <w:rPr>
          <w:lang w:val="en-GB"/>
        </w:rPr>
        <w:t xml:space="preserve">representatives of </w:t>
      </w:r>
      <w:r w:rsidR="005B67B5">
        <w:rPr>
          <w:lang w:val="en-GB"/>
        </w:rPr>
        <w:t>academia and EUSDR actors</w:t>
      </w:r>
      <w:r w:rsidR="00583213">
        <w:rPr>
          <w:lang w:val="en-GB"/>
        </w:rPr>
        <w:t xml:space="preserve"> from national, regional, local a</w:t>
      </w:r>
      <w:r w:rsidR="00075B18">
        <w:rPr>
          <w:lang w:val="en-GB"/>
        </w:rPr>
        <w:t xml:space="preserve">nd international organisations </w:t>
      </w:r>
      <w:r w:rsidR="0019120D">
        <w:rPr>
          <w:lang w:val="en-GB"/>
        </w:rPr>
        <w:t>active in the Region</w:t>
      </w:r>
      <w:r w:rsidR="005B67B5">
        <w:rPr>
          <w:lang w:val="en-GB"/>
        </w:rPr>
        <w:t>.</w:t>
      </w:r>
      <w:r w:rsidR="003749F8">
        <w:rPr>
          <w:lang w:val="en-GB"/>
        </w:rPr>
        <w:t>A stronger involvement of the civil society was i.a. claimed by the European Commission in its report concerning the governance of macro-regional strategies.</w:t>
      </w:r>
      <w:r w:rsidR="003749F8">
        <w:rPr>
          <w:rStyle w:val="a5"/>
          <w:lang w:val="en-GB"/>
        </w:rPr>
        <w:footnoteReference w:id="4"/>
      </w:r>
    </w:p>
    <w:p w:rsidR="005003B4" w:rsidRPr="002B58CE" w:rsidRDefault="005003B4" w:rsidP="00FC1B80">
      <w:pPr>
        <w:pStyle w:val="a7"/>
        <w:numPr>
          <w:ilvl w:val="0"/>
          <w:numId w:val="15"/>
        </w:numPr>
        <w:jc w:val="both"/>
        <w:rPr>
          <w:b/>
          <w:i/>
          <w:sz w:val="28"/>
          <w:lang w:val="en-GB"/>
        </w:rPr>
      </w:pPr>
      <w:r w:rsidRPr="002B58CE">
        <w:rPr>
          <w:b/>
          <w:i/>
          <w:sz w:val="28"/>
          <w:lang w:val="en-GB"/>
        </w:rPr>
        <w:t xml:space="preserve">What </w:t>
      </w:r>
      <w:r w:rsidR="00930FC7" w:rsidRPr="002B58CE">
        <w:rPr>
          <w:b/>
          <w:i/>
          <w:sz w:val="28"/>
          <w:lang w:val="en-GB"/>
        </w:rPr>
        <w:t>to do</w:t>
      </w:r>
    </w:p>
    <w:p w:rsidR="00F2229A" w:rsidRDefault="00F2229A" w:rsidP="00FC1B80">
      <w:pPr>
        <w:jc w:val="both"/>
        <w:rPr>
          <w:lang w:val="en-GB"/>
        </w:rPr>
      </w:pPr>
      <w:r>
        <w:rPr>
          <w:lang w:val="en-GB"/>
        </w:rPr>
        <w:t>The overall approach for civil society involvement in the EUSDR is twofold</w:t>
      </w:r>
      <w:r w:rsidR="008D5DDA">
        <w:rPr>
          <w:lang w:val="en-GB"/>
        </w:rPr>
        <w:t>:</w:t>
      </w:r>
    </w:p>
    <w:p w:rsidR="008D5DDA" w:rsidRDefault="008D5DDA" w:rsidP="00FC1B80">
      <w:pPr>
        <w:pStyle w:val="a7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Civil society </w:t>
      </w:r>
      <w:r w:rsidR="00834CE7">
        <w:rPr>
          <w:lang w:val="en-GB"/>
        </w:rPr>
        <w:t xml:space="preserve">and </w:t>
      </w:r>
      <w:r w:rsidR="00834CE7" w:rsidRPr="00851560">
        <w:rPr>
          <w:lang w:val="en-GB"/>
        </w:rPr>
        <w:t>social partner</w:t>
      </w:r>
      <w:r>
        <w:rPr>
          <w:lang w:val="en-GB"/>
        </w:rPr>
        <w:t>involvement in the governance of the EUSDR;</w:t>
      </w:r>
    </w:p>
    <w:p w:rsidR="008D5DDA" w:rsidRPr="00987CE2" w:rsidRDefault="008D5DDA" w:rsidP="00FC1B80">
      <w:pPr>
        <w:pStyle w:val="a7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Strengthening civil society</w:t>
      </w:r>
      <w:r w:rsidR="000717F9">
        <w:rPr>
          <w:lang w:val="en-GB"/>
        </w:rPr>
        <w:t>, European citizenship</w:t>
      </w:r>
      <w:r w:rsidR="000478D8">
        <w:rPr>
          <w:lang w:val="en-GB"/>
        </w:rPr>
        <w:t>, social partners</w:t>
      </w:r>
      <w:r w:rsidR="000717F9">
        <w:rPr>
          <w:lang w:val="en-GB"/>
        </w:rPr>
        <w:t xml:space="preserve"> and civic engagement </w:t>
      </w:r>
      <w:r w:rsidR="00017B62" w:rsidRPr="00987CE2">
        <w:rPr>
          <w:lang w:val="en-GB"/>
        </w:rPr>
        <w:t xml:space="preserve">throughout the </w:t>
      </w:r>
      <w:r w:rsidRPr="00987CE2">
        <w:rPr>
          <w:lang w:val="en-GB"/>
        </w:rPr>
        <w:t>Danube</w:t>
      </w:r>
      <w:r w:rsidR="000717F9" w:rsidRPr="00987CE2">
        <w:rPr>
          <w:lang w:val="en-GB"/>
        </w:rPr>
        <w:t xml:space="preserve"> Region.</w:t>
      </w:r>
    </w:p>
    <w:p w:rsidR="00723FAE" w:rsidRPr="00987CE2" w:rsidRDefault="00723FAE" w:rsidP="00FC1B80">
      <w:pPr>
        <w:jc w:val="both"/>
        <w:rPr>
          <w:lang w:val="en-GB"/>
        </w:rPr>
      </w:pPr>
      <w:r w:rsidRPr="00987CE2">
        <w:rPr>
          <w:lang w:val="en-GB"/>
        </w:rPr>
        <w:t>Civil society involvement within the framework of the EUSDR implement</w:t>
      </w:r>
      <w:r w:rsidR="00C85A3C" w:rsidRPr="00987CE2">
        <w:rPr>
          <w:lang w:val="en-GB"/>
        </w:rPr>
        <w:t>ation should first and foremost</w:t>
      </w:r>
      <w:r w:rsidR="00017B62" w:rsidRPr="00987CE2">
        <w:rPr>
          <w:lang w:val="en-GB"/>
        </w:rPr>
        <w:t>:</w:t>
      </w:r>
    </w:p>
    <w:p w:rsidR="00723FAE" w:rsidRDefault="00723FAE" w:rsidP="000E10AA">
      <w:pPr>
        <w:pStyle w:val="a7"/>
        <w:numPr>
          <w:ilvl w:val="0"/>
          <w:numId w:val="17"/>
        </w:numPr>
        <w:jc w:val="both"/>
        <w:rPr>
          <w:lang w:val="en-GB"/>
        </w:rPr>
      </w:pPr>
      <w:r w:rsidRPr="00A90B1B">
        <w:rPr>
          <w:lang w:val="en-GB"/>
        </w:rPr>
        <w:lastRenderedPageBreak/>
        <w:t>Improve conditions for civic and</w:t>
      </w:r>
      <w:r w:rsidR="00017B62">
        <w:rPr>
          <w:lang w:val="en-GB"/>
        </w:rPr>
        <w:t xml:space="preserve"> democratic participation at EU, </w:t>
      </w:r>
      <w:r w:rsidRPr="00A90B1B">
        <w:rPr>
          <w:lang w:val="en-GB"/>
        </w:rPr>
        <w:t>the macro-regional</w:t>
      </w:r>
      <w:r w:rsidR="00017B62">
        <w:rPr>
          <w:lang w:val="en-GB"/>
        </w:rPr>
        <w:t xml:space="preserve">, </w:t>
      </w:r>
      <w:r w:rsidR="00017B62" w:rsidRPr="00987CE2">
        <w:rPr>
          <w:lang w:val="en-GB"/>
        </w:rPr>
        <w:t>and the national/regional</w:t>
      </w:r>
      <w:r w:rsidRPr="00A90B1B">
        <w:rPr>
          <w:lang w:val="en-GB"/>
        </w:rPr>
        <w:t>level</w:t>
      </w:r>
      <w:r>
        <w:rPr>
          <w:lang w:val="en-GB"/>
        </w:rPr>
        <w:t>;</w:t>
      </w:r>
    </w:p>
    <w:p w:rsidR="00723FAE" w:rsidRDefault="00723FAE" w:rsidP="000E10AA">
      <w:pPr>
        <w:pStyle w:val="a7"/>
        <w:numPr>
          <w:ilvl w:val="0"/>
          <w:numId w:val="17"/>
        </w:numPr>
        <w:jc w:val="both"/>
        <w:rPr>
          <w:lang w:val="en-GB"/>
        </w:rPr>
      </w:pPr>
      <w:r>
        <w:rPr>
          <w:lang w:val="en-GB"/>
        </w:rPr>
        <w:t>Communicate the EUSDR to the citizens;</w:t>
      </w:r>
    </w:p>
    <w:p w:rsidR="00723FAE" w:rsidRDefault="00723FAE" w:rsidP="000E10AA">
      <w:pPr>
        <w:pStyle w:val="a7"/>
        <w:numPr>
          <w:ilvl w:val="0"/>
          <w:numId w:val="17"/>
        </w:numPr>
        <w:jc w:val="both"/>
        <w:rPr>
          <w:lang w:val="en-GB"/>
        </w:rPr>
      </w:pPr>
      <w:r>
        <w:rPr>
          <w:lang w:val="en-GB"/>
        </w:rPr>
        <w:t>E</w:t>
      </w:r>
      <w:r w:rsidRPr="003F02C5">
        <w:rPr>
          <w:lang w:val="en-GB"/>
        </w:rPr>
        <w:t>ncourage democratic partici</w:t>
      </w:r>
      <w:r>
        <w:rPr>
          <w:lang w:val="en-GB"/>
        </w:rPr>
        <w:t>pation of citizens at EU level.</w:t>
      </w:r>
    </w:p>
    <w:p w:rsidR="002B58CE" w:rsidRDefault="002B58CE" w:rsidP="00FC1B80">
      <w:pPr>
        <w:pStyle w:val="a7"/>
        <w:jc w:val="both"/>
        <w:rPr>
          <w:lang w:val="en-GB"/>
        </w:rPr>
      </w:pPr>
    </w:p>
    <w:p w:rsidR="002B58CE" w:rsidRPr="00075B18" w:rsidRDefault="002B58CE" w:rsidP="00075B18">
      <w:pPr>
        <w:pStyle w:val="a7"/>
        <w:numPr>
          <w:ilvl w:val="1"/>
          <w:numId w:val="15"/>
        </w:numPr>
        <w:jc w:val="both"/>
        <w:rPr>
          <w:b/>
          <w:i/>
          <w:sz w:val="28"/>
          <w:lang w:val="en-GB"/>
        </w:rPr>
      </w:pPr>
      <w:r w:rsidRPr="00075B18">
        <w:rPr>
          <w:b/>
          <w:i/>
          <w:sz w:val="28"/>
          <w:lang w:val="en-GB"/>
        </w:rPr>
        <w:t>Fields of action</w:t>
      </w:r>
    </w:p>
    <w:p w:rsidR="0008740C" w:rsidRDefault="00251CAA" w:rsidP="00FC1B80">
      <w:pPr>
        <w:jc w:val="both"/>
        <w:rPr>
          <w:lang w:val="en-GB"/>
        </w:rPr>
      </w:pPr>
      <w:r>
        <w:rPr>
          <w:lang w:val="en-GB"/>
        </w:rPr>
        <w:t xml:space="preserve">Macro-regional strategies are about the better use of existing institutions, legislation and </w:t>
      </w:r>
      <w:r w:rsidRPr="00851560">
        <w:rPr>
          <w:lang w:val="en-GB"/>
        </w:rPr>
        <w:t>funding</w:t>
      </w:r>
      <w:r w:rsidR="00834CE7" w:rsidRPr="00851560">
        <w:rPr>
          <w:lang w:val="en-GB"/>
        </w:rPr>
        <w:t xml:space="preserve"> for the </w:t>
      </w:r>
      <w:r w:rsidR="00851560" w:rsidRPr="00851560">
        <w:rPr>
          <w:lang w:val="en-GB"/>
        </w:rPr>
        <w:t>development</w:t>
      </w:r>
      <w:r w:rsidR="00834CE7" w:rsidRPr="00851560">
        <w:rPr>
          <w:lang w:val="en-GB"/>
        </w:rPr>
        <w:t xml:space="preserve"> of the </w:t>
      </w:r>
      <w:r w:rsidR="00851560">
        <w:rPr>
          <w:lang w:val="en-GB"/>
        </w:rPr>
        <w:t>entire respective</w:t>
      </w:r>
      <w:r w:rsidR="005A6F74">
        <w:rPr>
          <w:lang w:val="en-GB"/>
        </w:rPr>
        <w:t>macro-</w:t>
      </w:r>
      <w:r w:rsidR="00834CE7" w:rsidRPr="00851560">
        <w:rPr>
          <w:lang w:val="en-GB"/>
        </w:rPr>
        <w:t>region</w:t>
      </w:r>
      <w:r w:rsidR="00B05CCB">
        <w:rPr>
          <w:lang w:val="en-GB"/>
        </w:rPr>
        <w:t xml:space="preserve"> and about use </w:t>
      </w:r>
      <w:r w:rsidR="00B05CCB" w:rsidRPr="00987CE2">
        <w:rPr>
          <w:lang w:val="en-GB"/>
        </w:rPr>
        <w:t>and empowerment of the local and regional dimension (placed-based approach) and subsidiarity</w:t>
      </w:r>
      <w:r w:rsidRPr="00987CE2">
        <w:rPr>
          <w:lang w:val="en-GB"/>
        </w:rPr>
        <w:t xml:space="preserve">. One </w:t>
      </w:r>
      <w:r w:rsidRPr="00251CAA">
        <w:rPr>
          <w:lang w:val="en-GB"/>
        </w:rPr>
        <w:t xml:space="preserve">of the key </w:t>
      </w:r>
      <w:r>
        <w:rPr>
          <w:lang w:val="en-GB"/>
        </w:rPr>
        <w:t>challenges with regard to civil society involvement will therefore be the integration of existing structures</w:t>
      </w:r>
      <w:r w:rsidR="00DF5ACC">
        <w:rPr>
          <w:lang w:val="en-GB"/>
        </w:rPr>
        <w:t xml:space="preserve"> within </w:t>
      </w:r>
      <w:r w:rsidR="0088348B">
        <w:rPr>
          <w:lang w:val="en-GB"/>
        </w:rPr>
        <w:t>on-going</w:t>
      </w:r>
      <w:r w:rsidR="00DF5ACC">
        <w:rPr>
          <w:lang w:val="en-GB"/>
        </w:rPr>
        <w:t xml:space="preserve"> EUSDR processes. This i</w:t>
      </w:r>
      <w:r w:rsidR="00AD6128">
        <w:rPr>
          <w:lang w:val="en-GB"/>
        </w:rPr>
        <w:t>mplies the following approaches</w:t>
      </w:r>
      <w:r w:rsidR="00514869">
        <w:rPr>
          <w:lang w:val="en-GB"/>
        </w:rPr>
        <w:t xml:space="preserve">, which </w:t>
      </w:r>
      <w:r w:rsidR="005A6F74">
        <w:rPr>
          <w:lang w:val="en-GB"/>
        </w:rPr>
        <w:t>PA</w:t>
      </w:r>
      <w:r w:rsidR="002D3F4B">
        <w:rPr>
          <w:lang w:val="en-GB"/>
        </w:rPr>
        <w:t xml:space="preserve">10 and its </w:t>
      </w:r>
      <w:r w:rsidR="00514869">
        <w:rPr>
          <w:lang w:val="en-GB"/>
        </w:rPr>
        <w:t xml:space="preserve">D-LAP advisory committee </w:t>
      </w:r>
      <w:r w:rsidR="00AD6128" w:rsidRPr="00851560">
        <w:rPr>
          <w:lang w:val="en-GB"/>
        </w:rPr>
        <w:t xml:space="preserve">propose to carry out in cooperation with the upcoming </w:t>
      </w:r>
      <w:r w:rsidR="00B050DA">
        <w:rPr>
          <w:lang w:val="en-GB"/>
        </w:rPr>
        <w:t>Danube</w:t>
      </w:r>
      <w:r w:rsidR="00AD6128" w:rsidRPr="00851560">
        <w:rPr>
          <w:lang w:val="en-GB"/>
        </w:rPr>
        <w:t xml:space="preserve"> Strategy </w:t>
      </w:r>
      <w:r w:rsidR="00B050DA">
        <w:rPr>
          <w:lang w:val="en-GB"/>
        </w:rPr>
        <w:t>P</w:t>
      </w:r>
      <w:r w:rsidR="00AD6128" w:rsidRPr="00851560">
        <w:rPr>
          <w:lang w:val="en-GB"/>
        </w:rPr>
        <w:t>oint</w:t>
      </w:r>
      <w:r w:rsidR="00B050DA">
        <w:rPr>
          <w:lang w:val="en-GB"/>
        </w:rPr>
        <w:t xml:space="preserve"> (DSP)</w:t>
      </w:r>
      <w:r w:rsidR="00AD6128" w:rsidRPr="00851560">
        <w:rPr>
          <w:lang w:val="en-GB"/>
        </w:rPr>
        <w:t>:</w:t>
      </w:r>
    </w:p>
    <w:p w:rsidR="0047353B" w:rsidRDefault="00DF5ACC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 w:rsidRPr="006633E6">
        <w:rPr>
          <w:lang w:val="en-GB"/>
        </w:rPr>
        <w:t>Involve</w:t>
      </w:r>
      <w:r w:rsidR="00F2229A" w:rsidRPr="00987CE2">
        <w:rPr>
          <w:b/>
          <w:lang w:val="en-GB"/>
        </w:rPr>
        <w:t>E</w:t>
      </w:r>
      <w:r w:rsidR="00F2229A" w:rsidRPr="006633E6">
        <w:rPr>
          <w:b/>
          <w:lang w:val="en-GB"/>
        </w:rPr>
        <w:t>uropean bodies</w:t>
      </w:r>
      <w:r w:rsidR="00F2229A" w:rsidRPr="006633E6">
        <w:rPr>
          <w:lang w:val="en-GB"/>
        </w:rPr>
        <w:t xml:space="preserve"> dealing with the topic, e.g. </w:t>
      </w:r>
      <w:r w:rsidR="006633E6">
        <w:rPr>
          <w:lang w:val="en-GB"/>
        </w:rPr>
        <w:t xml:space="preserve">DG </w:t>
      </w:r>
      <w:r w:rsidR="001F2CEC">
        <w:rPr>
          <w:lang w:val="en-GB"/>
        </w:rPr>
        <w:t>REGIO</w:t>
      </w:r>
      <w:r w:rsidR="006633E6">
        <w:rPr>
          <w:lang w:val="en-GB"/>
        </w:rPr>
        <w:t xml:space="preserve">, </w:t>
      </w:r>
      <w:r w:rsidR="00487BF3" w:rsidRPr="006633E6">
        <w:rPr>
          <w:lang w:val="en-GB"/>
        </w:rPr>
        <w:t>DG COM</w:t>
      </w:r>
      <w:r w:rsidRPr="006633E6">
        <w:rPr>
          <w:lang w:val="en-GB"/>
        </w:rPr>
        <w:t>,</w:t>
      </w:r>
      <w:r w:rsidR="00C85A3C" w:rsidRPr="006633E6">
        <w:rPr>
          <w:lang w:val="en-GB"/>
        </w:rPr>
        <w:t xml:space="preserve"> DG NEAR,</w:t>
      </w:r>
      <w:r w:rsidRPr="006633E6">
        <w:rPr>
          <w:lang w:val="en-GB"/>
        </w:rPr>
        <w:t xml:space="preserve"> EC representations</w:t>
      </w:r>
      <w:r w:rsidR="002757D7">
        <w:rPr>
          <w:lang w:val="en-GB"/>
        </w:rPr>
        <w:t xml:space="preserve"> in the Danube Region</w:t>
      </w:r>
      <w:r w:rsidRPr="006633E6">
        <w:rPr>
          <w:lang w:val="en-GB"/>
        </w:rPr>
        <w:t xml:space="preserve">, </w:t>
      </w:r>
      <w:r w:rsidR="00251CAA" w:rsidRPr="006633E6">
        <w:rPr>
          <w:lang w:val="en-GB"/>
        </w:rPr>
        <w:t>Europe Direct</w:t>
      </w:r>
      <w:r w:rsidR="00C85A3C" w:rsidRPr="006633E6">
        <w:rPr>
          <w:lang w:val="en-GB"/>
        </w:rPr>
        <w:t>,the EESC</w:t>
      </w:r>
      <w:r w:rsidR="006633E6" w:rsidRPr="006633E6">
        <w:rPr>
          <w:lang w:val="en-GB"/>
        </w:rPr>
        <w:t xml:space="preserve">, </w:t>
      </w:r>
      <w:r w:rsidR="001F2CEC">
        <w:rPr>
          <w:lang w:val="en-GB"/>
        </w:rPr>
        <w:t xml:space="preserve">the </w:t>
      </w:r>
      <w:r w:rsidR="00BB04B4">
        <w:rPr>
          <w:lang w:val="en-GB"/>
        </w:rPr>
        <w:t xml:space="preserve">CoR, </w:t>
      </w:r>
      <w:r w:rsidR="006633E6" w:rsidRPr="006633E6">
        <w:rPr>
          <w:lang w:val="en-GB"/>
        </w:rPr>
        <w:t xml:space="preserve">etc. Furthermore, </w:t>
      </w:r>
      <w:r w:rsidR="00851560">
        <w:rPr>
          <w:lang w:val="en-GB"/>
        </w:rPr>
        <w:t>relevant</w:t>
      </w:r>
      <w:r w:rsidR="006633E6" w:rsidRPr="006633E6">
        <w:rPr>
          <w:lang w:val="en-GB"/>
        </w:rPr>
        <w:t xml:space="preserve"> institutions in third countries should be involved, such as the Regional Cooperation Council (RCC)or the Cen</w:t>
      </w:r>
      <w:r w:rsidR="00851560">
        <w:rPr>
          <w:lang w:val="en-GB"/>
        </w:rPr>
        <w:t>tral European Initiative (CEI);</w:t>
      </w:r>
    </w:p>
    <w:p w:rsidR="0047353B" w:rsidRDefault="0047353B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 w:rsidRPr="0008740C">
        <w:rPr>
          <w:lang w:val="en-GB"/>
        </w:rPr>
        <w:t xml:space="preserve">Involve the </w:t>
      </w:r>
      <w:r w:rsidRPr="0008740C">
        <w:rPr>
          <w:b/>
          <w:lang w:val="en-GB"/>
        </w:rPr>
        <w:t>National Contact Points for the Europe for Citizens programme</w:t>
      </w:r>
      <w:r w:rsidRPr="0008740C">
        <w:rPr>
          <w:lang w:val="en-GB"/>
        </w:rPr>
        <w:t xml:space="preserve"> in the 9 EU-MS of the EUSDR and the other EUSDR countries (Serbia, Montenegro</w:t>
      </w:r>
      <w:r>
        <w:rPr>
          <w:rStyle w:val="a5"/>
          <w:lang w:val="en-GB"/>
        </w:rPr>
        <w:footnoteReference w:id="5"/>
      </w:r>
      <w:r w:rsidRPr="0008740C">
        <w:rPr>
          <w:lang w:val="en-GB"/>
        </w:rPr>
        <w:t>) participating in this programme;</w:t>
      </w:r>
    </w:p>
    <w:p w:rsidR="0047353B" w:rsidRDefault="0047353B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 xml:space="preserve">Involve the national,  regional and local authorities and CSOs through annual </w:t>
      </w:r>
      <w:r w:rsidRPr="006633E6">
        <w:rPr>
          <w:b/>
          <w:lang w:val="en-GB"/>
        </w:rPr>
        <w:t>National EUSDR Hearings</w:t>
      </w:r>
      <w:r w:rsidRPr="0047353B">
        <w:rPr>
          <w:lang w:val="en-GB"/>
        </w:rPr>
        <w:t>in cooperation with the</w:t>
      </w:r>
      <w:r>
        <w:rPr>
          <w:b/>
          <w:lang w:val="en-GB"/>
        </w:rPr>
        <w:t xml:space="preserve"> National Coordinators of the EUSDR;</w:t>
      </w:r>
    </w:p>
    <w:p w:rsidR="00DF5ACC" w:rsidRDefault="00DF5ACC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 xml:space="preserve">Involveeach of the </w:t>
      </w:r>
      <w:r w:rsidRPr="0008740C">
        <w:rPr>
          <w:b/>
          <w:lang w:val="en-GB"/>
        </w:rPr>
        <w:t>Priority Areas of the EUSDR</w:t>
      </w:r>
      <w:r w:rsidR="0008740C">
        <w:rPr>
          <w:lang w:val="en-GB"/>
        </w:rPr>
        <w:t>, where civil society is relevant;</w:t>
      </w:r>
    </w:p>
    <w:p w:rsidR="00BB04B4" w:rsidRDefault="00294276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 xml:space="preserve">Ensure the </w:t>
      </w:r>
      <w:r w:rsidRPr="00294276">
        <w:rPr>
          <w:b/>
          <w:lang w:val="en-GB"/>
        </w:rPr>
        <w:t>parliamentary dimension</w:t>
      </w:r>
      <w:r>
        <w:rPr>
          <w:lang w:val="en-GB"/>
        </w:rPr>
        <w:t xml:space="preserve"> of the EUSDR through involvement of the EP as well as national and regional parliaments;</w:t>
      </w:r>
    </w:p>
    <w:p w:rsidR="00DF5ACC" w:rsidRDefault="008D5DDA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>Create a s</w:t>
      </w:r>
      <w:r w:rsidR="00DF5ACC">
        <w:rPr>
          <w:lang w:val="en-GB"/>
        </w:rPr>
        <w:t xml:space="preserve">trong link and exchange of experience with </w:t>
      </w:r>
      <w:r w:rsidR="00DF5ACC" w:rsidRPr="0008740C">
        <w:rPr>
          <w:b/>
          <w:lang w:val="en-GB"/>
        </w:rPr>
        <w:t>other macro-regional strategies</w:t>
      </w:r>
      <w:r w:rsidR="0047353B">
        <w:rPr>
          <w:b/>
          <w:lang w:val="en-GB"/>
        </w:rPr>
        <w:t xml:space="preserve"> and research on macro-regional strategies</w:t>
      </w:r>
      <w:r w:rsidR="0088348B">
        <w:rPr>
          <w:lang w:val="en-GB"/>
        </w:rPr>
        <w:t>;</w:t>
      </w:r>
    </w:p>
    <w:p w:rsidR="00251CAA" w:rsidRDefault="00DF5ACC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 xml:space="preserve">Make the </w:t>
      </w:r>
      <w:r w:rsidRPr="0031787E">
        <w:rPr>
          <w:b/>
          <w:lang w:val="en-GB"/>
        </w:rPr>
        <w:t>Participation Day</w:t>
      </w:r>
      <w:r w:rsidR="00BB04B4">
        <w:rPr>
          <w:b/>
          <w:lang w:val="en-GB"/>
        </w:rPr>
        <w:t xml:space="preserve"> for local actors and CSO</w:t>
      </w:r>
      <w:r w:rsidR="00F443B7">
        <w:rPr>
          <w:b/>
          <w:lang w:val="en-GB"/>
        </w:rPr>
        <w:t>s</w:t>
      </w:r>
      <w:r>
        <w:rPr>
          <w:lang w:val="en-GB"/>
        </w:rPr>
        <w:t xml:space="preserve"> an integrated part of </w:t>
      </w:r>
      <w:r w:rsidR="008D5DDA">
        <w:rPr>
          <w:lang w:val="en-GB"/>
        </w:rPr>
        <w:t>each Annual Forum</w:t>
      </w:r>
      <w:r w:rsidR="00294276">
        <w:rPr>
          <w:lang w:val="en-GB"/>
        </w:rPr>
        <w:t xml:space="preserve"> of the EUSDR</w:t>
      </w:r>
      <w:r w:rsidR="008D5DDA">
        <w:rPr>
          <w:lang w:val="en-GB"/>
        </w:rPr>
        <w:t>;</w:t>
      </w:r>
    </w:p>
    <w:p w:rsidR="008D5DDA" w:rsidRDefault="008D5DDA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 xml:space="preserve">Support </w:t>
      </w:r>
      <w:r w:rsidRPr="0031787E">
        <w:rPr>
          <w:b/>
          <w:lang w:val="en-GB"/>
        </w:rPr>
        <w:t>project development</w:t>
      </w:r>
      <w:r>
        <w:rPr>
          <w:lang w:val="en-GB"/>
        </w:rPr>
        <w:t>, e.g. through</w:t>
      </w:r>
      <w:r w:rsidR="00015807">
        <w:rPr>
          <w:lang w:val="en-GB"/>
        </w:rPr>
        <w:t xml:space="preserve"> networking activities and relevant programmes such as </w:t>
      </w:r>
      <w:r>
        <w:rPr>
          <w:lang w:val="en-GB"/>
        </w:rPr>
        <w:t xml:space="preserve"> the</w:t>
      </w:r>
      <w:r w:rsidR="0031787E">
        <w:rPr>
          <w:lang w:val="en-GB"/>
        </w:rPr>
        <w:t xml:space="preserve"> Danube Transnational programme and other ESIF programmes;</w:t>
      </w:r>
    </w:p>
    <w:p w:rsidR="0031787E" w:rsidRDefault="0031787E" w:rsidP="000E10AA">
      <w:pPr>
        <w:pStyle w:val="a7"/>
        <w:numPr>
          <w:ilvl w:val="0"/>
          <w:numId w:val="18"/>
        </w:numPr>
        <w:jc w:val="both"/>
        <w:rPr>
          <w:lang w:val="en-GB"/>
        </w:rPr>
      </w:pPr>
      <w:r>
        <w:rPr>
          <w:lang w:val="en-GB"/>
        </w:rPr>
        <w:t xml:space="preserve">Support </w:t>
      </w:r>
      <w:r w:rsidRPr="0031787E">
        <w:rPr>
          <w:b/>
          <w:lang w:val="en-GB"/>
        </w:rPr>
        <w:t>capacity building</w:t>
      </w:r>
      <w:r>
        <w:rPr>
          <w:lang w:val="en-GB"/>
        </w:rPr>
        <w:t xml:space="preserve"> in the Danube Region, </w:t>
      </w:r>
      <w:r w:rsidRPr="004F376A">
        <w:rPr>
          <w:lang w:val="en-GB"/>
        </w:rPr>
        <w:t xml:space="preserve">in cooperation with </w:t>
      </w:r>
      <w:r w:rsidR="004F376A">
        <w:rPr>
          <w:lang w:val="en-GB"/>
        </w:rPr>
        <w:t xml:space="preserve">the </w:t>
      </w:r>
      <w:r w:rsidRPr="004F376A">
        <w:rPr>
          <w:lang w:val="en-GB"/>
        </w:rPr>
        <w:t>PA10</w:t>
      </w:r>
      <w:r w:rsidR="004F376A">
        <w:rPr>
          <w:lang w:val="en-GB"/>
        </w:rPr>
        <w:t xml:space="preserve"> Danube Capacity Platform (D-CAP)</w:t>
      </w:r>
      <w:r w:rsidR="00624A58">
        <w:rPr>
          <w:lang w:val="en-GB"/>
        </w:rPr>
        <w:t>.</w:t>
      </w:r>
    </w:p>
    <w:p w:rsidR="000B2D1D" w:rsidRDefault="000B2D1D" w:rsidP="00FC1B80">
      <w:pPr>
        <w:pStyle w:val="a7"/>
        <w:ind w:left="360"/>
        <w:jc w:val="both"/>
        <w:rPr>
          <w:lang w:val="en-GB"/>
        </w:rPr>
      </w:pPr>
    </w:p>
    <w:p w:rsidR="000717F9" w:rsidRPr="00135813" w:rsidRDefault="000717F9" w:rsidP="00FC1B80">
      <w:pPr>
        <w:pStyle w:val="a7"/>
        <w:numPr>
          <w:ilvl w:val="1"/>
          <w:numId w:val="15"/>
        </w:numPr>
        <w:jc w:val="both"/>
        <w:rPr>
          <w:b/>
          <w:i/>
          <w:sz w:val="28"/>
          <w:lang w:val="en-GB"/>
        </w:rPr>
      </w:pPr>
      <w:r w:rsidRPr="00135813">
        <w:rPr>
          <w:b/>
          <w:i/>
          <w:sz w:val="28"/>
          <w:lang w:val="en-GB"/>
        </w:rPr>
        <w:t>Potential civil society elements in an upcoming r</w:t>
      </w:r>
      <w:r w:rsidR="0031787E" w:rsidRPr="00135813">
        <w:rPr>
          <w:b/>
          <w:i/>
          <w:sz w:val="28"/>
          <w:lang w:val="en-GB"/>
        </w:rPr>
        <w:t>evised Action Plan of the EUSDR</w:t>
      </w:r>
    </w:p>
    <w:p w:rsidR="00200C62" w:rsidRPr="009B337D" w:rsidRDefault="008A2F4A" w:rsidP="00FC1B80">
      <w:pPr>
        <w:pStyle w:val="justif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Civil society should play a role </w:t>
      </w:r>
      <w:r w:rsidR="00C85A3C" w:rsidRPr="0020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each of the Priority Areas of the EUSDR. </w:t>
      </w:r>
      <w:r w:rsidR="006633E6" w:rsidRPr="0020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Within the current </w:t>
      </w:r>
      <w:r w:rsidR="00C85A3C" w:rsidRPr="00200C62">
        <w:rPr>
          <w:rFonts w:asciiTheme="minorHAnsi" w:eastAsiaTheme="minorHAnsi" w:hAnsiTheme="minorHAnsi" w:cstheme="minorBidi"/>
          <w:sz w:val="22"/>
          <w:szCs w:val="22"/>
          <w:lang w:eastAsia="en-US"/>
        </w:rPr>
        <w:t>governance of the EUSDR</w:t>
      </w:r>
      <w:r w:rsidR="00BD2A44" w:rsidRPr="0020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civil society involvement matters especially with regard to </w:t>
      </w:r>
      <w:r w:rsidR="0083298C" w:rsidRPr="00200C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multi-level </w:t>
      </w:r>
      <w:r w:rsidR="0083298C" w:rsidRPr="00200C6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governance and project development.</w:t>
      </w:r>
      <w:r w:rsidR="0083298C" w:rsidRPr="0054438C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footnoteReference w:id="6"/>
      </w:r>
      <w:r w:rsidR="00200C62" w:rsidRPr="009B337D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Currently, the D-LAP implements three actions of the Action Plan</w:t>
      </w:r>
      <w:r w:rsidR="004F376A">
        <w:rPr>
          <w:rStyle w:val="a5"/>
          <w:rFonts w:asciiTheme="minorHAnsi" w:eastAsiaTheme="minorHAnsi" w:hAnsiTheme="minorHAnsi" w:cstheme="minorBidi"/>
          <w:sz w:val="22"/>
          <w:szCs w:val="22"/>
          <w:lang w:eastAsia="en-US"/>
        </w:rPr>
        <w:footnoteReference w:id="7"/>
      </w:r>
      <w:r w:rsidR="00200C62" w:rsidRPr="009B337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200C62" w:rsidRPr="009B337D" w:rsidRDefault="00200C62" w:rsidP="00C30928">
      <w:pPr>
        <w:pStyle w:val="a7"/>
        <w:numPr>
          <w:ilvl w:val="0"/>
          <w:numId w:val="18"/>
        </w:numPr>
        <w:jc w:val="both"/>
        <w:rPr>
          <w:lang w:val="en-GB"/>
        </w:rPr>
      </w:pPr>
      <w:r w:rsidRPr="009B337D">
        <w:rPr>
          <w:lang w:val="en-GB"/>
        </w:rPr>
        <w:t>To improve the trust of citizens and stakeholders in political authorities</w:t>
      </w:r>
    </w:p>
    <w:p w:rsidR="00200C62" w:rsidRPr="00C30928" w:rsidRDefault="00200C62" w:rsidP="00C30928">
      <w:pPr>
        <w:pStyle w:val="a7"/>
        <w:numPr>
          <w:ilvl w:val="0"/>
          <w:numId w:val="18"/>
        </w:numPr>
        <w:jc w:val="both"/>
        <w:rPr>
          <w:lang w:val="en-GB"/>
        </w:rPr>
      </w:pPr>
      <w:r w:rsidRPr="00C30928">
        <w:rPr>
          <w:lang w:val="en-GB"/>
        </w:rPr>
        <w:t>To establish a Danube Civil Society Forum</w:t>
      </w:r>
    </w:p>
    <w:p w:rsidR="00CB19D6" w:rsidRPr="00C30928" w:rsidRDefault="00200C62" w:rsidP="00C30928">
      <w:pPr>
        <w:pStyle w:val="a7"/>
        <w:numPr>
          <w:ilvl w:val="0"/>
          <w:numId w:val="18"/>
        </w:numPr>
        <w:jc w:val="both"/>
        <w:rPr>
          <w:lang w:val="en-GB"/>
        </w:rPr>
      </w:pPr>
      <w:r w:rsidRPr="00C30928">
        <w:rPr>
          <w:lang w:val="en-GB"/>
        </w:rPr>
        <w:t>To ensure sufficient information flow and exchange at all levels</w:t>
      </w:r>
    </w:p>
    <w:p w:rsidR="0031787E" w:rsidRPr="00CB19D6" w:rsidRDefault="004F442B" w:rsidP="00CB19D6">
      <w:pPr>
        <w:pStyle w:val="justif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>With the Danube Civil Society Forum already being set up</w:t>
      </w:r>
      <w:r w:rsidR="00DC683D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continuously growing in terms of members</w:t>
      </w:r>
      <w:r w:rsidR="00017B62" w:rsidRPr="00987CE2">
        <w:rPr>
          <w:rFonts w:asciiTheme="minorHAnsi" w:eastAsiaTheme="minorHAnsi" w:hAnsiTheme="minorHAnsi" w:cstheme="minorBidi"/>
          <w:sz w:val="22"/>
          <w:szCs w:val="22"/>
          <w:lang w:eastAsia="en-US"/>
        </w:rPr>
        <w:t>and capability</w:t>
      </w:r>
      <w:r w:rsidRPr="00987CE2">
        <w:rPr>
          <w:rFonts w:asciiTheme="minorHAnsi" w:eastAsiaTheme="minorHAnsi" w:hAnsiTheme="minorHAnsi" w:cstheme="minorBidi"/>
          <w:sz w:val="22"/>
          <w:szCs w:val="22"/>
          <w:lang w:eastAsia="en-US"/>
        </w:rPr>
        <w:t>, a</w:t>
      </w:r>
      <w:r w:rsidR="0031787E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potential </w:t>
      </w:r>
      <w:r w:rsidR="004F376A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>update</w:t>
      </w:r>
      <w:r w:rsidR="0031787E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the </w:t>
      </w:r>
      <w:r w:rsidR="004F376A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existing </w:t>
      </w:r>
      <w:r w:rsidR="0031787E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Action Plan should regroup those actions which are already being implemented by </w:t>
      </w:r>
      <w:r w:rsidR="00F94C4C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PA10 </w:t>
      </w:r>
      <w:r w:rsidR="00EF701D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through the D-LAP </w:t>
      </w:r>
      <w:r w:rsidR="00F94C4C" w:rsidRP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>and its partners:</w:t>
      </w:r>
    </w:p>
    <w:tbl>
      <w:tblPr>
        <w:tblStyle w:val="aa"/>
        <w:tblW w:w="9464" w:type="dxa"/>
        <w:tblLayout w:type="fixed"/>
        <w:tblLook w:val="04A0"/>
      </w:tblPr>
      <w:tblGrid>
        <w:gridCol w:w="1886"/>
        <w:gridCol w:w="1057"/>
        <w:gridCol w:w="1985"/>
        <w:gridCol w:w="2964"/>
        <w:gridCol w:w="1572"/>
      </w:tblGrid>
      <w:tr w:rsidR="009C2E24" w:rsidRPr="00987CE2" w:rsidTr="00017B62">
        <w:tc>
          <w:tcPr>
            <w:tcW w:w="1886" w:type="dxa"/>
            <w:shd w:val="clear" w:color="auto" w:fill="BFBFBF" w:themeFill="background1" w:themeFillShade="BF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Danube Local Actors Platform (D-LAP)</w:t>
            </w:r>
            <w:r w:rsidR="0081086D" w:rsidRPr="00C85A3C">
              <w:rPr>
                <w:lang w:val="en-GB"/>
              </w:rPr>
              <w:t xml:space="preserve"> – Actions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:rsidR="009C2E24" w:rsidRPr="00C85A3C" w:rsidRDefault="0081086D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 xml:space="preserve">Other relevant </w:t>
            </w:r>
            <w:r w:rsidR="00C85A3C">
              <w:rPr>
                <w:lang w:val="en-GB"/>
              </w:rPr>
              <w:t xml:space="preserve">EUSDR </w:t>
            </w:r>
            <w:r w:rsidRPr="00C85A3C">
              <w:rPr>
                <w:lang w:val="en-GB"/>
              </w:rPr>
              <w:t>PA</w:t>
            </w:r>
            <w:r w:rsidR="009C2E24" w:rsidRPr="00C85A3C">
              <w:rPr>
                <w:lang w:val="en-GB"/>
              </w:rPr>
              <w:t>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C2E24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Examples of relevant Institutions</w:t>
            </w:r>
          </w:p>
          <w:p w:rsidR="00591129" w:rsidRPr="00591129" w:rsidRDefault="00591129" w:rsidP="005A6F74">
            <w:pPr>
              <w:rPr>
                <w:b/>
                <w:lang w:val="en-GB"/>
              </w:rPr>
            </w:pPr>
            <w:r w:rsidRPr="00591129">
              <w:rPr>
                <w:b/>
                <w:lang w:val="en-GB"/>
              </w:rPr>
              <w:t>To be completed</w:t>
            </w:r>
          </w:p>
        </w:tc>
        <w:tc>
          <w:tcPr>
            <w:tcW w:w="2964" w:type="dxa"/>
            <w:shd w:val="clear" w:color="auto" w:fill="BFBFBF" w:themeFill="background1" w:themeFillShade="BF"/>
          </w:tcPr>
          <w:p w:rsidR="009C2E24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Relevant Funding Sources (Programmes and Funds)</w:t>
            </w:r>
          </w:p>
          <w:p w:rsidR="00591129" w:rsidRPr="00C85A3C" w:rsidRDefault="00591129" w:rsidP="005A6F74">
            <w:pPr>
              <w:rPr>
                <w:lang w:val="en-GB"/>
              </w:rPr>
            </w:pPr>
            <w:r w:rsidRPr="00591129">
              <w:rPr>
                <w:b/>
                <w:lang w:val="en-GB"/>
              </w:rPr>
              <w:t>To be completed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9C2E24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 xml:space="preserve">Potential </w:t>
            </w:r>
            <w:r w:rsidR="00D43B19">
              <w:rPr>
                <w:lang w:val="en-GB"/>
              </w:rPr>
              <w:t>Large</w:t>
            </w:r>
            <w:r w:rsidRPr="00C85A3C">
              <w:rPr>
                <w:lang w:val="en-GB"/>
              </w:rPr>
              <w:t xml:space="preserve"> projects</w:t>
            </w:r>
          </w:p>
          <w:p w:rsidR="00591129" w:rsidRPr="00C85A3C" w:rsidRDefault="00591129" w:rsidP="005A6F74">
            <w:pPr>
              <w:rPr>
                <w:lang w:val="en-GB"/>
              </w:rPr>
            </w:pPr>
            <w:r w:rsidRPr="00591129">
              <w:rPr>
                <w:b/>
                <w:lang w:val="en-GB"/>
              </w:rPr>
              <w:t>To be completed</w:t>
            </w:r>
          </w:p>
        </w:tc>
      </w:tr>
      <w:tr w:rsidR="009C2E24" w:rsidRPr="00017B62" w:rsidTr="00017B62">
        <w:tc>
          <w:tcPr>
            <w:tcW w:w="1886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Sustainable Danube Region</w:t>
            </w:r>
          </w:p>
        </w:tc>
        <w:tc>
          <w:tcPr>
            <w:tcW w:w="1057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1,2,3,</w:t>
            </w:r>
            <w:r w:rsidRPr="00C85A3C">
              <w:rPr>
                <w:b/>
                <w:lang w:val="en-GB"/>
              </w:rPr>
              <w:t>4,5,6</w:t>
            </w:r>
            <w:r w:rsidR="00EF701D">
              <w:rPr>
                <w:lang w:val="en-GB"/>
              </w:rPr>
              <w:t>,7,9</w:t>
            </w:r>
          </w:p>
        </w:tc>
        <w:tc>
          <w:tcPr>
            <w:tcW w:w="1985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DCSF, ICPDR, WWF</w:t>
            </w:r>
            <w:r w:rsidR="0081086D" w:rsidRPr="00C85A3C">
              <w:rPr>
                <w:lang w:val="en-GB"/>
              </w:rPr>
              <w:t>, DG ENV</w:t>
            </w:r>
          </w:p>
        </w:tc>
        <w:tc>
          <w:tcPr>
            <w:tcW w:w="2964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Danube Transnational</w:t>
            </w:r>
            <w:r w:rsidR="0081086D" w:rsidRPr="00C85A3C">
              <w:rPr>
                <w:lang w:val="en-GB"/>
              </w:rPr>
              <w:t xml:space="preserve">, </w:t>
            </w:r>
            <w:r w:rsidR="006B18F4">
              <w:rPr>
                <w:lang w:val="en-GB"/>
              </w:rPr>
              <w:t>CBC programmes in the Danube Region,</w:t>
            </w:r>
            <w:r w:rsidR="0081086D" w:rsidRPr="00C85A3C">
              <w:rPr>
                <w:lang w:val="en-GB"/>
              </w:rPr>
              <w:t xml:space="preserve">HORIZON2020, </w:t>
            </w:r>
            <w:r w:rsidR="006B18F4">
              <w:rPr>
                <w:lang w:val="en-GB"/>
              </w:rPr>
              <w:t xml:space="preserve">LIFE, </w:t>
            </w:r>
            <w:r w:rsidR="0081086D" w:rsidRPr="00C85A3C">
              <w:rPr>
                <w:lang w:val="en-GB"/>
              </w:rPr>
              <w:t>START, TAF-DRP</w:t>
            </w:r>
            <w:r w:rsidR="006B18F4">
              <w:rPr>
                <w:lang w:val="en-GB"/>
              </w:rPr>
              <w:t>, IPA, ENI</w:t>
            </w:r>
          </w:p>
        </w:tc>
        <w:tc>
          <w:tcPr>
            <w:tcW w:w="1572" w:type="dxa"/>
          </w:tcPr>
          <w:p w:rsidR="009C2E24" w:rsidRPr="00C85A3C" w:rsidRDefault="00017B62" w:rsidP="00017B62">
            <w:pPr>
              <w:rPr>
                <w:lang w:val="en-GB"/>
              </w:rPr>
            </w:pPr>
            <w:r>
              <w:rPr>
                <w:lang w:val="en-GB"/>
              </w:rPr>
              <w:t xml:space="preserve">Climate Change Mitigation and Management, DCSF </w:t>
            </w:r>
          </w:p>
        </w:tc>
      </w:tr>
      <w:tr w:rsidR="009C2E24" w:rsidTr="00017B62">
        <w:tc>
          <w:tcPr>
            <w:tcW w:w="1886" w:type="dxa"/>
          </w:tcPr>
          <w:p w:rsidR="009C2E24" w:rsidRPr="00C85A3C" w:rsidRDefault="0081086D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Capable Danube Region</w:t>
            </w:r>
          </w:p>
        </w:tc>
        <w:tc>
          <w:tcPr>
            <w:tcW w:w="1057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3,</w:t>
            </w:r>
            <w:r w:rsidRPr="00C85A3C">
              <w:rPr>
                <w:b/>
                <w:lang w:val="en-GB"/>
              </w:rPr>
              <w:t>7,8,9</w:t>
            </w:r>
          </w:p>
        </w:tc>
        <w:tc>
          <w:tcPr>
            <w:tcW w:w="1985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DCSF, DSP,</w:t>
            </w:r>
            <w:r w:rsidR="0081086D" w:rsidRPr="00C85A3C">
              <w:rPr>
                <w:lang w:val="en-GB"/>
              </w:rPr>
              <w:t xml:space="preserve"> DG NEAR,DG EAC, DG Regio, DG COM,</w:t>
            </w:r>
            <w:r w:rsidR="00BD2A44">
              <w:rPr>
                <w:lang w:val="en-GB"/>
              </w:rPr>
              <w:t xml:space="preserve"> DG NEAR</w:t>
            </w:r>
          </w:p>
        </w:tc>
        <w:tc>
          <w:tcPr>
            <w:tcW w:w="2964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 xml:space="preserve">Danube Transnational, </w:t>
            </w:r>
            <w:r w:rsidR="005F6438">
              <w:rPr>
                <w:lang w:val="en-GB"/>
              </w:rPr>
              <w:t xml:space="preserve">CBC programmes in the Danube Region, </w:t>
            </w:r>
            <w:r w:rsidRPr="00C85A3C">
              <w:rPr>
                <w:lang w:val="en-GB"/>
              </w:rPr>
              <w:t>Europe for Citizens, ESF, Erasmus+, BACID,</w:t>
            </w:r>
            <w:r w:rsidR="0081086D" w:rsidRPr="00C85A3C">
              <w:rPr>
                <w:lang w:val="en-GB"/>
              </w:rPr>
              <w:t xml:space="preserve"> START,</w:t>
            </w:r>
            <w:r w:rsidRPr="00C85A3C">
              <w:rPr>
                <w:lang w:val="en-GB"/>
              </w:rPr>
              <w:t xml:space="preserve"> TAF-DRP</w:t>
            </w:r>
            <w:r w:rsidR="00EF701D">
              <w:rPr>
                <w:lang w:val="en-GB"/>
              </w:rPr>
              <w:t>, TAIEX</w:t>
            </w:r>
            <w:r w:rsidR="000A6035">
              <w:rPr>
                <w:lang w:val="en-GB"/>
              </w:rPr>
              <w:t>, IPA, EN</w:t>
            </w:r>
            <w:r w:rsidR="00F443B7">
              <w:rPr>
                <w:lang w:val="en-GB"/>
              </w:rPr>
              <w:t>I</w:t>
            </w:r>
          </w:p>
        </w:tc>
        <w:tc>
          <w:tcPr>
            <w:tcW w:w="1572" w:type="dxa"/>
          </w:tcPr>
          <w:p w:rsidR="009C2E24" w:rsidRPr="00C85A3C" w:rsidRDefault="009C2E24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BaileHerculane</w:t>
            </w:r>
            <w:r w:rsidR="0082012C">
              <w:rPr>
                <w:lang w:val="en-GB"/>
              </w:rPr>
              <w:t>, Danube Master (FH Burgenland)</w:t>
            </w:r>
          </w:p>
        </w:tc>
      </w:tr>
      <w:tr w:rsidR="009C2E24" w:rsidTr="00017B62">
        <w:tc>
          <w:tcPr>
            <w:tcW w:w="1886" w:type="dxa"/>
          </w:tcPr>
          <w:p w:rsidR="009C2E24" w:rsidRPr="00C85A3C" w:rsidRDefault="0081086D" w:rsidP="005A6F74">
            <w:pPr>
              <w:rPr>
                <w:lang w:val="en-GB"/>
              </w:rPr>
            </w:pPr>
            <w:r w:rsidRPr="00C85A3C">
              <w:rPr>
                <w:lang w:val="en-GB"/>
              </w:rPr>
              <w:t>Transparent, open and participatory Danube Region</w:t>
            </w:r>
          </w:p>
        </w:tc>
        <w:tc>
          <w:tcPr>
            <w:tcW w:w="1057" w:type="dxa"/>
          </w:tcPr>
          <w:p w:rsidR="009C2E24" w:rsidRPr="00C85A3C" w:rsidRDefault="0081086D" w:rsidP="005A6F74">
            <w:pPr>
              <w:rPr>
                <w:lang w:val="en-GB"/>
              </w:rPr>
            </w:pPr>
            <w:r w:rsidRPr="00C85A3C">
              <w:rPr>
                <w:b/>
                <w:lang w:val="en-GB"/>
              </w:rPr>
              <w:t>1</w:t>
            </w:r>
            <w:r w:rsidRPr="00C85A3C">
              <w:rPr>
                <w:lang w:val="en-GB"/>
              </w:rPr>
              <w:t>,</w:t>
            </w:r>
            <w:r w:rsidRPr="00C85A3C">
              <w:rPr>
                <w:b/>
                <w:lang w:val="en-GB"/>
              </w:rPr>
              <w:t>2,4,5,6,8</w:t>
            </w:r>
            <w:r w:rsidRPr="00C85A3C">
              <w:rPr>
                <w:lang w:val="en-GB"/>
              </w:rPr>
              <w:t>,,</w:t>
            </w:r>
            <w:r w:rsidRPr="00C85A3C">
              <w:rPr>
                <w:b/>
                <w:lang w:val="en-GB"/>
              </w:rPr>
              <w:t>11</w:t>
            </w:r>
          </w:p>
        </w:tc>
        <w:tc>
          <w:tcPr>
            <w:tcW w:w="1985" w:type="dxa"/>
          </w:tcPr>
          <w:p w:rsidR="009C2E24" w:rsidRPr="00987CE2" w:rsidRDefault="0081086D" w:rsidP="00987CE2">
            <w:r w:rsidRPr="00987CE2">
              <w:t>DCSF,</w:t>
            </w:r>
            <w:r w:rsidR="0054438C" w:rsidRPr="00987CE2">
              <w:t>DSP,</w:t>
            </w:r>
            <w:r w:rsidRPr="00987CE2">
              <w:t xml:space="preserve">KdZ, DG </w:t>
            </w:r>
            <w:r w:rsidR="00C3512C" w:rsidRPr="00987CE2">
              <w:t>DIGIT</w:t>
            </w:r>
            <w:r w:rsidR="00987CE2">
              <w:t xml:space="preserve">, </w:t>
            </w:r>
            <w:r w:rsidR="00F443B7" w:rsidRPr="00987CE2">
              <w:t>EESC</w:t>
            </w:r>
          </w:p>
        </w:tc>
        <w:tc>
          <w:tcPr>
            <w:tcW w:w="2964" w:type="dxa"/>
          </w:tcPr>
          <w:p w:rsidR="009C2E24" w:rsidRPr="00C85A3C" w:rsidRDefault="00735A77" w:rsidP="005A6F74">
            <w:pPr>
              <w:rPr>
                <w:lang w:val="en-GB"/>
              </w:rPr>
            </w:pPr>
            <w:r>
              <w:rPr>
                <w:lang w:val="en-GB"/>
              </w:rPr>
              <w:t xml:space="preserve">BACID, </w:t>
            </w:r>
            <w:r w:rsidRPr="00C85A3C">
              <w:rPr>
                <w:lang w:val="en-GB"/>
              </w:rPr>
              <w:t>Europe for Citizens</w:t>
            </w:r>
            <w:r w:rsidR="000A6035">
              <w:rPr>
                <w:lang w:val="en-GB"/>
              </w:rPr>
              <w:t xml:space="preserve">, </w:t>
            </w:r>
            <w:r w:rsidR="007A03B0">
              <w:rPr>
                <w:lang w:val="en-GB"/>
              </w:rPr>
              <w:t>IPA, ENI, TAIEX</w:t>
            </w:r>
          </w:p>
        </w:tc>
        <w:tc>
          <w:tcPr>
            <w:tcW w:w="1572" w:type="dxa"/>
          </w:tcPr>
          <w:p w:rsidR="009C2E24" w:rsidRPr="00C85A3C" w:rsidRDefault="00735A77" w:rsidP="005A6F74">
            <w:pPr>
              <w:rPr>
                <w:lang w:val="en-GB"/>
              </w:rPr>
            </w:pPr>
            <w:r>
              <w:rPr>
                <w:lang w:val="en-GB"/>
              </w:rPr>
              <w:t>National Hearings</w:t>
            </w:r>
            <w:r w:rsidR="006B18F4">
              <w:rPr>
                <w:lang w:val="en-GB"/>
              </w:rPr>
              <w:t>, Participation Days</w:t>
            </w:r>
          </w:p>
        </w:tc>
      </w:tr>
    </w:tbl>
    <w:p w:rsidR="00EF701D" w:rsidRDefault="00EF701D" w:rsidP="00FC1B80">
      <w:pPr>
        <w:pStyle w:val="justif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This </w:t>
      </w:r>
      <w:r w:rsidR="00B3119A">
        <w:rPr>
          <w:rFonts w:asciiTheme="minorHAnsi" w:eastAsiaTheme="minorHAnsi" w:hAnsiTheme="minorHAnsi" w:cstheme="minorBidi"/>
          <w:sz w:val="22"/>
          <w:szCs w:val="22"/>
          <w:lang w:eastAsia="en-US"/>
        </w:rPr>
        <w:t>system</w:t>
      </w:r>
      <w:r w:rsidR="00591129">
        <w:rPr>
          <w:rFonts w:asciiTheme="minorHAnsi" w:eastAsiaTheme="minorHAnsi" w:hAnsiTheme="minorHAnsi" w:cstheme="minorBidi"/>
          <w:sz w:val="22"/>
          <w:szCs w:val="22"/>
          <w:lang w:eastAsia="en-US"/>
        </w:rPr>
        <w:t>at</w:t>
      </w:r>
      <w:r w:rsidR="00B311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ic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grid could lay the foundations for </w:t>
      </w:r>
      <w:r w:rsidR="00B3119A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r w:rsidR="00CB19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D-LAP as the </w:t>
      </w:r>
      <w:r w:rsidR="00B311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future involvement of civil society and local actors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provide the main thematic directions for which civil society is relevant. It would also comply with the twofold approach of making the EUSDR an open </w:t>
      </w:r>
      <w:r w:rsidR="001358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participatory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process and </w:t>
      </w:r>
      <w:r w:rsidR="00135813">
        <w:rPr>
          <w:rFonts w:asciiTheme="minorHAnsi" w:eastAsiaTheme="minorHAnsi" w:hAnsiTheme="minorHAnsi" w:cstheme="minorBidi"/>
          <w:sz w:val="22"/>
          <w:szCs w:val="22"/>
          <w:lang w:eastAsia="en-US"/>
        </w:rPr>
        <w:t>strengthening the civil society as well as the local level in the Danube macro-region</w:t>
      </w:r>
      <w:r w:rsidR="00FC1B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(see point 2)</w:t>
      </w:r>
      <w:r w:rsidR="0013581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65D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addition to this, it would allow to establish links to each of the EUSDR Priority Areas.</w:t>
      </w:r>
    </w:p>
    <w:p w:rsidR="0019120D" w:rsidRPr="0019120D" w:rsidRDefault="0019120D" w:rsidP="0019120D">
      <w:pPr>
        <w:pStyle w:val="a7"/>
        <w:numPr>
          <w:ilvl w:val="1"/>
          <w:numId w:val="15"/>
        </w:numPr>
        <w:jc w:val="both"/>
        <w:rPr>
          <w:b/>
          <w:i/>
          <w:sz w:val="28"/>
          <w:lang w:val="en-GB"/>
        </w:rPr>
      </w:pPr>
      <w:r w:rsidRPr="0019120D">
        <w:rPr>
          <w:b/>
          <w:i/>
          <w:sz w:val="28"/>
          <w:lang w:val="en-GB"/>
        </w:rPr>
        <w:t>Methodology</w:t>
      </w:r>
    </w:p>
    <w:p w:rsidR="00487BF3" w:rsidRPr="009B337D" w:rsidRDefault="007A03B0" w:rsidP="00FC1B80">
      <w:pPr>
        <w:pStyle w:val="justify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main body to steer this process is the D-LAP advisory committee which </w:t>
      </w:r>
      <w:r w:rsidR="00487BF3" w:rsidRPr="009B337D">
        <w:rPr>
          <w:rFonts w:asciiTheme="minorHAnsi" w:eastAsiaTheme="minorHAnsi" w:hAnsiTheme="minorHAnsi" w:cstheme="minorBidi"/>
          <w:sz w:val="22"/>
          <w:szCs w:val="22"/>
          <w:lang w:eastAsia="en-US"/>
        </w:rPr>
        <w:t>PA10 has set up</w:t>
      </w:r>
      <w:r w:rsidR="006B18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cooperation with the Danube Civil Society Forum</w:t>
      </w:r>
      <w:r w:rsidR="00423C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other networks</w:t>
      </w:r>
      <w:r w:rsidR="00F443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PAs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.It involves</w:t>
      </w:r>
      <w:r w:rsidR="00AE2D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mainly</w:t>
      </w:r>
      <w:r w:rsidR="00FC1B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four </w:t>
      </w:r>
      <w:r w:rsidR="00487BF3" w:rsidRPr="009B337D">
        <w:rPr>
          <w:rFonts w:asciiTheme="minorHAnsi" w:eastAsiaTheme="minorHAnsi" w:hAnsiTheme="minorHAnsi" w:cstheme="minorBidi"/>
          <w:sz w:val="22"/>
          <w:szCs w:val="22"/>
          <w:lang w:eastAsia="en-US"/>
        </w:rPr>
        <w:t>types of participants:</w:t>
      </w:r>
    </w:p>
    <w:p w:rsidR="00487BF3" w:rsidRPr="009B337D" w:rsidRDefault="00487BF3" w:rsidP="000E10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B337D">
        <w:rPr>
          <w:lang w:val="en-GB"/>
        </w:rPr>
        <w:t>representatives from civil society organisations;</w:t>
      </w:r>
    </w:p>
    <w:p w:rsidR="00487BF3" w:rsidRPr="009B337D" w:rsidRDefault="00487BF3" w:rsidP="000E10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B337D">
        <w:rPr>
          <w:lang w:val="en-GB"/>
        </w:rPr>
        <w:t>representatives from the local and regional governments, as well as international organisations;</w:t>
      </w:r>
    </w:p>
    <w:p w:rsidR="00487BF3" w:rsidRDefault="00487BF3" w:rsidP="000E10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B337D">
        <w:rPr>
          <w:lang w:val="en-GB"/>
        </w:rPr>
        <w:t>representatives from academia dealing with the concept and the implementati</w:t>
      </w:r>
      <w:r w:rsidR="006B18F4">
        <w:rPr>
          <w:lang w:val="en-GB"/>
        </w:rPr>
        <w:t>on of macro-regional strategies;</w:t>
      </w:r>
    </w:p>
    <w:p w:rsidR="00834CE7" w:rsidRDefault="006B18F4" w:rsidP="000E10A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6B18F4">
        <w:rPr>
          <w:lang w:val="en-GB"/>
        </w:rPr>
        <w:t>r</w:t>
      </w:r>
      <w:r w:rsidR="00834CE7" w:rsidRPr="006B18F4">
        <w:rPr>
          <w:lang w:val="en-GB"/>
        </w:rPr>
        <w:t>epresentatives</w:t>
      </w:r>
      <w:r w:rsidR="00041A9E">
        <w:rPr>
          <w:lang w:val="en-GB"/>
        </w:rPr>
        <w:t>from</w:t>
      </w:r>
      <w:r w:rsidR="00834CE7" w:rsidRPr="006B18F4">
        <w:rPr>
          <w:lang w:val="en-GB"/>
        </w:rPr>
        <w:t xml:space="preserve"> social partner organisations</w:t>
      </w:r>
      <w:r w:rsidR="00423C1C">
        <w:rPr>
          <w:lang w:val="en-GB"/>
        </w:rPr>
        <w:t>.</w:t>
      </w:r>
    </w:p>
    <w:p w:rsidR="002B70C5" w:rsidRPr="00B05CCB" w:rsidRDefault="0019120D" w:rsidP="0019120D">
      <w:pPr>
        <w:spacing w:before="100" w:beforeAutospacing="1" w:after="100" w:afterAutospacing="1" w:line="240" w:lineRule="auto"/>
        <w:jc w:val="both"/>
        <w:rPr>
          <w:color w:val="FF0000"/>
          <w:lang w:val="en-GB"/>
        </w:rPr>
      </w:pPr>
      <w:r>
        <w:rPr>
          <w:lang w:val="en-GB"/>
        </w:rPr>
        <w:lastRenderedPageBreak/>
        <w:t>Once this network is fully developed, the field</w:t>
      </w:r>
      <w:r w:rsidR="00FF3477">
        <w:rPr>
          <w:lang w:val="en-GB"/>
        </w:rPr>
        <w:t>s</w:t>
      </w:r>
      <w:r>
        <w:rPr>
          <w:lang w:val="en-GB"/>
        </w:rPr>
        <w:t xml:space="preserve"> of </w:t>
      </w:r>
      <w:r w:rsidR="00FF3477">
        <w:rPr>
          <w:lang w:val="en-GB"/>
        </w:rPr>
        <w:t>a</w:t>
      </w:r>
      <w:r>
        <w:rPr>
          <w:lang w:val="en-GB"/>
        </w:rPr>
        <w:t>ction</w:t>
      </w:r>
      <w:r w:rsidR="00FF3477">
        <w:rPr>
          <w:lang w:val="en-GB"/>
        </w:rPr>
        <w:t xml:space="preserve"> (see 2.1)</w:t>
      </w:r>
      <w:r>
        <w:rPr>
          <w:lang w:val="en-GB"/>
        </w:rPr>
        <w:t xml:space="preserve"> can be implemented though a) project development b) networking and c) capacity building. </w:t>
      </w:r>
      <w:r w:rsidR="00423C1C" w:rsidRPr="00423C1C">
        <w:rPr>
          <w:lang w:val="en-GB"/>
        </w:rPr>
        <w:t xml:space="preserve">The </w:t>
      </w:r>
      <w:r w:rsidR="00423C1C">
        <w:rPr>
          <w:lang w:val="en-GB"/>
        </w:rPr>
        <w:t xml:space="preserve">long-term </w:t>
      </w:r>
      <w:r w:rsidR="00423C1C" w:rsidRPr="00423C1C">
        <w:rPr>
          <w:lang w:val="en-GB"/>
        </w:rPr>
        <w:t xml:space="preserve">aim of </w:t>
      </w:r>
      <w:r w:rsidR="00423C1C">
        <w:rPr>
          <w:lang w:val="en-GB"/>
        </w:rPr>
        <w:t xml:space="preserve">the D-LAP should be to bridge political divides </w:t>
      </w:r>
      <w:r w:rsidR="00EE67D8">
        <w:rPr>
          <w:lang w:val="en-GB"/>
        </w:rPr>
        <w:t xml:space="preserve">in a region that was hit by recent conflicts as well as to </w:t>
      </w:r>
      <w:r w:rsidR="00423C1C">
        <w:rPr>
          <w:lang w:val="en-GB"/>
        </w:rPr>
        <w:t xml:space="preserve">bring the EUSDR closer to the citizens and enable </w:t>
      </w:r>
      <w:r w:rsidR="00591129">
        <w:rPr>
          <w:lang w:val="en-GB"/>
        </w:rPr>
        <w:t>interested</w:t>
      </w:r>
      <w:r w:rsidR="00423C1C">
        <w:rPr>
          <w:lang w:val="en-GB"/>
        </w:rPr>
        <w:t xml:space="preserve"> persons to act as multipliers.</w:t>
      </w:r>
      <w:r w:rsidR="00EE67D8">
        <w:rPr>
          <w:lang w:val="en-GB"/>
        </w:rPr>
        <w:t xml:space="preserve"> The EUSDR is about exis</w:t>
      </w:r>
      <w:r w:rsidR="009E76E8">
        <w:rPr>
          <w:lang w:val="en-GB"/>
        </w:rPr>
        <w:t xml:space="preserve">ting instruments and </w:t>
      </w:r>
      <w:r w:rsidR="009E76E8" w:rsidRPr="00987CE2">
        <w:rPr>
          <w:lang w:val="en-GB"/>
        </w:rPr>
        <w:t>therefore the macro-regional</w:t>
      </w:r>
      <w:r w:rsidR="00CB19D6" w:rsidRPr="00987CE2">
        <w:rPr>
          <w:lang w:val="en-GB"/>
        </w:rPr>
        <w:t xml:space="preserve">approach </w:t>
      </w:r>
      <w:r w:rsidR="00EE67D8" w:rsidRPr="00987CE2">
        <w:rPr>
          <w:lang w:val="en-GB"/>
        </w:rPr>
        <w:t xml:space="preserve">needs to be translated into </w:t>
      </w:r>
      <w:r w:rsidR="00FC1B80" w:rsidRPr="00987CE2">
        <w:rPr>
          <w:lang w:val="en-GB"/>
        </w:rPr>
        <w:t>concrete projects and activities</w:t>
      </w:r>
      <w:r w:rsidR="00B05CCB" w:rsidRPr="00987CE2">
        <w:rPr>
          <w:lang w:val="en-GB"/>
        </w:rPr>
        <w:t xml:space="preserve"> with strong emphasis on the local and regional level</w:t>
      </w:r>
      <w:r w:rsidR="00FC1B80" w:rsidRPr="00987CE2">
        <w:rPr>
          <w:lang w:val="en-GB"/>
        </w:rPr>
        <w:t>.</w:t>
      </w:r>
      <w:r w:rsidR="00423C1C" w:rsidRPr="00987CE2">
        <w:rPr>
          <w:lang w:val="en-GB"/>
        </w:rPr>
        <w:t xml:space="preserve"> In this respect, </w:t>
      </w:r>
      <w:r w:rsidR="00591129" w:rsidRPr="00987CE2">
        <w:rPr>
          <w:lang w:val="en-GB"/>
        </w:rPr>
        <w:t>there is also a need for a change</w:t>
      </w:r>
      <w:r w:rsidR="002B70C5" w:rsidRPr="00987CE2">
        <w:rPr>
          <w:lang w:val="en-GB"/>
        </w:rPr>
        <w:t xml:space="preserve"> in mentalities, building confidence amongst stakeholders and improvement of skills</w:t>
      </w:r>
      <w:r w:rsidR="00591129" w:rsidRPr="00987CE2">
        <w:rPr>
          <w:rStyle w:val="a5"/>
          <w:vertAlign w:val="baseline"/>
          <w:lang w:val="en-GB"/>
        </w:rPr>
        <w:t xml:space="preserve"> and capacities.</w:t>
      </w:r>
      <w:r w:rsidR="00C15EDA" w:rsidRPr="00987CE2">
        <w:rPr>
          <w:lang w:val="en-GB"/>
        </w:rPr>
        <w:t>Reciprocally, the</w:t>
      </w:r>
      <w:r w:rsidR="002B70C5" w:rsidRPr="00987CE2">
        <w:rPr>
          <w:lang w:val="en-GB"/>
        </w:rPr>
        <w:t xml:space="preserve"> capacity of civil society </w:t>
      </w:r>
      <w:r w:rsidR="009E76E8" w:rsidRPr="00987CE2">
        <w:rPr>
          <w:lang w:val="en-GB"/>
        </w:rPr>
        <w:t xml:space="preserve">to provide expertise and thereby </w:t>
      </w:r>
      <w:r w:rsidR="002B70C5" w:rsidRPr="00987CE2">
        <w:rPr>
          <w:lang w:val="en-GB"/>
        </w:rPr>
        <w:t>to influence region-wide decision making processes, policy-making and implementation</w:t>
      </w:r>
      <w:r w:rsidR="00EE67D8" w:rsidRPr="00987CE2">
        <w:rPr>
          <w:lang w:val="en-GB"/>
        </w:rPr>
        <w:t xml:space="preserve"> needs to be </w:t>
      </w:r>
      <w:r w:rsidR="00FC1B80" w:rsidRPr="00987CE2">
        <w:rPr>
          <w:lang w:val="en-GB"/>
        </w:rPr>
        <w:t>sustained</w:t>
      </w:r>
      <w:r w:rsidR="00CB19D6" w:rsidRPr="00987CE2">
        <w:rPr>
          <w:lang w:val="en-GB"/>
        </w:rPr>
        <w:t xml:space="preserve"> through an improved exchange of information on the macro-regional level.</w:t>
      </w:r>
      <w:r w:rsidR="00B05CCB" w:rsidRPr="00987CE2">
        <w:rPr>
          <w:lang w:val="en-GB"/>
        </w:rPr>
        <w:t xml:space="preserve"> Fruitful participation in the Danube region is a mutual and joint learning process of state and non-state actors.</w:t>
      </w:r>
    </w:p>
    <w:sectPr w:rsidR="002B70C5" w:rsidRPr="00B05CCB" w:rsidSect="005A6F74">
      <w:headerReference w:type="even" r:id="rId8"/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9D" w:rsidRDefault="001B259D" w:rsidP="004F1C2C">
      <w:pPr>
        <w:spacing w:after="0" w:line="240" w:lineRule="auto"/>
      </w:pPr>
      <w:r>
        <w:separator/>
      </w:r>
    </w:p>
  </w:endnote>
  <w:endnote w:type="continuationSeparator" w:id="1">
    <w:p w:rsidR="001B259D" w:rsidRDefault="001B259D" w:rsidP="004F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9D" w:rsidRDefault="001B259D" w:rsidP="004F1C2C">
      <w:pPr>
        <w:spacing w:after="0" w:line="240" w:lineRule="auto"/>
      </w:pPr>
      <w:r>
        <w:separator/>
      </w:r>
    </w:p>
  </w:footnote>
  <w:footnote w:type="continuationSeparator" w:id="1">
    <w:p w:rsidR="001B259D" w:rsidRDefault="001B259D" w:rsidP="004F1C2C">
      <w:pPr>
        <w:spacing w:after="0" w:line="240" w:lineRule="auto"/>
      </w:pPr>
      <w:r>
        <w:continuationSeparator/>
      </w:r>
    </w:p>
  </w:footnote>
  <w:footnote w:id="2">
    <w:p w:rsidR="005A6F74" w:rsidRPr="004F1C2C" w:rsidRDefault="005A6F74" w:rsidP="0008740C">
      <w:pPr>
        <w:spacing w:after="0"/>
        <w:rPr>
          <w:lang w:val="en-GB"/>
        </w:rPr>
      </w:pPr>
      <w:r>
        <w:rPr>
          <w:rStyle w:val="a5"/>
        </w:rPr>
        <w:footnoteRef/>
      </w:r>
      <w:r w:rsidRPr="005003B4">
        <w:rPr>
          <w:sz w:val="20"/>
          <w:szCs w:val="20"/>
          <w:lang w:val="en-GB"/>
        </w:rPr>
        <w:t>A joint paper by Priority Area 10 “Stepping Up Institutional Capacity and Cooperation” of the EU Strategy for the Danube Region (EUSDR) and the Danube Civil Society Forum (DCSF)</w:t>
      </w:r>
      <w:r>
        <w:rPr>
          <w:sz w:val="20"/>
          <w:szCs w:val="20"/>
          <w:lang w:val="en-GB"/>
        </w:rPr>
        <w:t>, Feburary 2015.</w:t>
      </w:r>
    </w:p>
  </w:footnote>
  <w:footnote w:id="3">
    <w:p w:rsidR="005A6F74" w:rsidRPr="005003B4" w:rsidRDefault="005A6F74" w:rsidP="0008740C">
      <w:pPr>
        <w:pStyle w:val="a3"/>
        <w:rPr>
          <w:lang w:val="en-GB"/>
        </w:rPr>
      </w:pPr>
      <w:r>
        <w:rPr>
          <w:rStyle w:val="a5"/>
        </w:rPr>
        <w:footnoteRef/>
      </w:r>
      <w:r w:rsidRPr="005003B4">
        <w:rPr>
          <w:lang w:val="en-GB"/>
        </w:rPr>
        <w:t xml:space="preserve"> For this and other documents, please see </w:t>
      </w:r>
      <w:hyperlink r:id="rId1" w:history="1">
        <w:r w:rsidRPr="001E1DF8">
          <w:rPr>
            <w:rStyle w:val="a6"/>
            <w:lang w:val="en-GB"/>
          </w:rPr>
          <w:t>http://www.danube-capacitycooperation.eu/pages/civil-society</w:t>
        </w:r>
      </w:hyperlink>
    </w:p>
  </w:footnote>
  <w:footnote w:id="4">
    <w:p w:rsidR="005A6F74" w:rsidRPr="003749F8" w:rsidRDefault="005A6F74">
      <w:pPr>
        <w:pStyle w:val="a3"/>
        <w:rPr>
          <w:lang w:val="en-GB"/>
        </w:rPr>
      </w:pPr>
      <w:r>
        <w:rPr>
          <w:rStyle w:val="a5"/>
        </w:rPr>
        <w:footnoteRef/>
      </w:r>
      <w:r>
        <w:rPr>
          <w:lang w:val="en-GB"/>
        </w:rPr>
        <w:t>COM(2014) 248 final</w:t>
      </w:r>
    </w:p>
  </w:footnote>
  <w:footnote w:id="5">
    <w:p w:rsidR="005A6F74" w:rsidRPr="0088348B" w:rsidRDefault="005A6F74" w:rsidP="0047353B">
      <w:pPr>
        <w:pStyle w:val="a3"/>
        <w:rPr>
          <w:lang w:val="en-GB"/>
        </w:rPr>
      </w:pPr>
      <w:r>
        <w:rPr>
          <w:rStyle w:val="a5"/>
        </w:rPr>
        <w:footnoteRef/>
      </w:r>
      <w:r w:rsidRPr="0088348B">
        <w:rPr>
          <w:lang w:val="en-GB"/>
        </w:rPr>
        <w:t xml:space="preserve"> See </w:t>
      </w:r>
      <w:hyperlink r:id="rId2" w:history="1">
        <w:r w:rsidRPr="001E1DF8">
          <w:rPr>
            <w:rStyle w:val="a6"/>
            <w:lang w:val="en-GB"/>
          </w:rPr>
          <w:t>https://eacea.ec.europa.eu/europe-for-citizens/news/europe-for-citizens-programme-participating-countries_en</w:t>
        </w:r>
      </w:hyperlink>
    </w:p>
  </w:footnote>
  <w:footnote w:id="6">
    <w:p w:rsidR="005A6F74" w:rsidRPr="0083298C" w:rsidRDefault="005A6F74" w:rsidP="00352F9E">
      <w:pPr>
        <w:pStyle w:val="a3"/>
        <w:rPr>
          <w:lang w:val="en-GB"/>
        </w:rPr>
      </w:pPr>
      <w:r>
        <w:rPr>
          <w:rStyle w:val="a5"/>
        </w:rPr>
        <w:footnoteRef/>
      </w:r>
      <w:r w:rsidRPr="0083298C">
        <w:rPr>
          <w:lang w:val="en-GB"/>
        </w:rPr>
        <w:t xml:space="preserve"> Cf. Council conclus</w:t>
      </w:r>
      <w:r>
        <w:rPr>
          <w:lang w:val="en-GB"/>
        </w:rPr>
        <w:t>ions on the governance of macro</w:t>
      </w:r>
      <w:r w:rsidRPr="0083298C">
        <w:rPr>
          <w:lang w:val="en-GB"/>
        </w:rPr>
        <w:t>-regional strategies</w:t>
      </w:r>
      <w:r>
        <w:rPr>
          <w:lang w:val="en-GB"/>
        </w:rPr>
        <w:t xml:space="preserve"> of 21 October 2014, 16207</w:t>
      </w:r>
      <w:r w:rsidRPr="00352F9E">
        <w:rPr>
          <w:lang w:val="en-GB"/>
        </w:rPr>
        <w:t>/14</w:t>
      </w:r>
    </w:p>
  </w:footnote>
  <w:footnote w:id="7">
    <w:p w:rsidR="005A6F74" w:rsidRDefault="005A6F74">
      <w:pPr>
        <w:pStyle w:val="a3"/>
      </w:pPr>
      <w:r>
        <w:rPr>
          <w:rStyle w:val="a5"/>
        </w:rPr>
        <w:footnoteRef/>
      </w:r>
      <w:r w:rsidRPr="002D687C">
        <w:t>SEC(2010) 1489 final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74" w:rsidRDefault="00393A68">
    <w:pPr>
      <w:pStyle w:val="ab"/>
    </w:pPr>
    <w:r w:rsidRPr="00393A6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149686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793580"/>
      <w:docPartObj>
        <w:docPartGallery w:val="Page Numbers (Top of Page)"/>
        <w:docPartUnique/>
      </w:docPartObj>
    </w:sdtPr>
    <w:sdtContent>
      <w:p w:rsidR="005A6F74" w:rsidRDefault="00393A68">
        <w:pPr>
          <w:pStyle w:val="ab"/>
          <w:jc w:val="center"/>
        </w:pPr>
        <w:r>
          <w:fldChar w:fldCharType="begin"/>
        </w:r>
        <w:r w:rsidR="005A6F74">
          <w:instrText>PAGE   \* MERGEFORMAT</w:instrText>
        </w:r>
        <w:r>
          <w:fldChar w:fldCharType="separate"/>
        </w:r>
        <w:r w:rsidR="0000070E" w:rsidRPr="0000070E">
          <w:rPr>
            <w:noProof/>
            <w:lang w:val="de-DE"/>
          </w:rPr>
          <w:t>4</w:t>
        </w:r>
        <w:r>
          <w:fldChar w:fldCharType="end"/>
        </w:r>
      </w:p>
    </w:sdtContent>
  </w:sdt>
  <w:p w:rsidR="005A6F74" w:rsidRDefault="00393A68">
    <w:pPr>
      <w:pStyle w:val="ab"/>
    </w:pPr>
    <w:r w:rsidRPr="00393A6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149687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74" w:rsidRPr="00425C93" w:rsidRDefault="00425C93">
    <w:pPr>
      <w:pStyle w:val="ab"/>
      <w:rPr>
        <w:i/>
      </w:rPr>
    </w:pPr>
    <w:r w:rsidRPr="00425C93">
      <w:rPr>
        <w:b/>
        <w:bCs/>
        <w:i/>
        <w:noProof/>
        <w:lang w:val="ru-RU"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0</wp:posOffset>
          </wp:positionV>
          <wp:extent cx="1885315" cy="1005840"/>
          <wp:effectExtent l="0" t="0" r="635" b="3810"/>
          <wp:wrapTight wrapText="bothSides">
            <wp:wrapPolygon edited="0">
              <wp:start x="0" y="0"/>
              <wp:lineTo x="0" y="21273"/>
              <wp:lineTo x="21389" y="21273"/>
              <wp:lineTo x="21389" y="0"/>
              <wp:lineTo x="0" y="0"/>
            </wp:wrapPolygon>
          </wp:wrapTight>
          <wp:docPr id="3" name="Grafik 3" descr="cid:image001.png@01CE6DA9.1084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6DA9.108427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F74" w:rsidRPr="00425C93">
      <w:rPr>
        <w:i/>
        <w:noProof/>
        <w:lang w:val="ru-RU" w:eastAsia="ru-RU"/>
      </w:rPr>
      <w:drawing>
        <wp:inline distT="0" distB="0" distL="0" distR="0">
          <wp:extent cx="2253615" cy="9245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RS_small_inst-capacit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6F74" w:rsidRPr="00425C93">
      <w:rPr>
        <w:i/>
      </w:rPr>
      <w:tab/>
    </w:r>
    <w:r w:rsidR="005A6F74" w:rsidRPr="00425C93">
      <w:rPr>
        <w:i/>
      </w:rPr>
      <w:tab/>
    </w:r>
  </w:p>
  <w:p w:rsidR="005A6F74" w:rsidRDefault="00393A68">
    <w:pPr>
      <w:pStyle w:val="ab"/>
    </w:pPr>
    <w:r>
      <w:pict>
        <v:rect id="_x0000_i1025" style="width:453.6pt;height:1.5pt" o:hralign="center" o:hrstd="t" o:hrnoshade="t" o:hr="t" fillcolor="#0e4194" stroked="f"/>
      </w:pict>
    </w:r>
  </w:p>
  <w:p w:rsidR="005A6F74" w:rsidRDefault="00393A68">
    <w:pPr>
      <w:pStyle w:val="ab"/>
    </w:pPr>
    <w:r w:rsidRPr="00393A6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0149685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BE5"/>
    <w:multiLevelType w:val="hybridMultilevel"/>
    <w:tmpl w:val="F788D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7D8"/>
    <w:multiLevelType w:val="multilevel"/>
    <w:tmpl w:val="C76634B4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14A56"/>
    <w:multiLevelType w:val="hybridMultilevel"/>
    <w:tmpl w:val="002CE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2BE1"/>
    <w:multiLevelType w:val="multilevel"/>
    <w:tmpl w:val="25E2C82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755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190F0B"/>
    <w:multiLevelType w:val="multilevel"/>
    <w:tmpl w:val="BF0844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196B500D"/>
    <w:multiLevelType w:val="multilevel"/>
    <w:tmpl w:val="08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1D51732F"/>
    <w:multiLevelType w:val="hybridMultilevel"/>
    <w:tmpl w:val="2FB46B10"/>
    <w:lvl w:ilvl="0" w:tplc="44922BBA">
      <w:start w:val="1"/>
      <w:numFmt w:val="bullet"/>
      <w:lvlText w:val="─"/>
      <w:lvlJc w:val="left"/>
      <w:pPr>
        <w:ind w:left="720" w:hanging="360"/>
      </w:pPr>
      <w:rPr>
        <w:rFonts w:ascii="Courier" w:hAnsi="Courier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396B"/>
    <w:multiLevelType w:val="multilevel"/>
    <w:tmpl w:val="08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0C53605"/>
    <w:multiLevelType w:val="hybridMultilevel"/>
    <w:tmpl w:val="31F6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3BCA"/>
    <w:multiLevelType w:val="hybridMultilevel"/>
    <w:tmpl w:val="9EF00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5D6C32"/>
    <w:multiLevelType w:val="multilevel"/>
    <w:tmpl w:val="EE0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C01A6"/>
    <w:multiLevelType w:val="multilevel"/>
    <w:tmpl w:val="EEAE1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F917F4"/>
    <w:multiLevelType w:val="hybridMultilevel"/>
    <w:tmpl w:val="44F6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24F3A"/>
    <w:multiLevelType w:val="hybridMultilevel"/>
    <w:tmpl w:val="766EC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E55B9"/>
    <w:multiLevelType w:val="hybridMultilevel"/>
    <w:tmpl w:val="E3584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67D88"/>
    <w:multiLevelType w:val="multilevel"/>
    <w:tmpl w:val="BF0844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>
    <w:nsid w:val="6A201371"/>
    <w:multiLevelType w:val="hybridMultilevel"/>
    <w:tmpl w:val="F09C40E8"/>
    <w:lvl w:ilvl="0" w:tplc="44922BBA">
      <w:start w:val="1"/>
      <w:numFmt w:val="bullet"/>
      <w:lvlText w:val="─"/>
      <w:lvlJc w:val="left"/>
      <w:pPr>
        <w:ind w:left="720" w:hanging="360"/>
      </w:pPr>
      <w:rPr>
        <w:rFonts w:ascii="Courier" w:hAnsi="Courier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A18C8"/>
    <w:multiLevelType w:val="multilevel"/>
    <w:tmpl w:val="BF6A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</w:num>
  <w:num w:numId="5">
    <w:abstractNumId w:val="18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6"/>
  </w:num>
  <w:num w:numId="13">
    <w:abstractNumId w:val="5"/>
  </w:num>
  <w:num w:numId="14">
    <w:abstractNumId w:val="4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0B69"/>
    <w:rsid w:val="0000070E"/>
    <w:rsid w:val="00015807"/>
    <w:rsid w:val="00017B62"/>
    <w:rsid w:val="00041A9E"/>
    <w:rsid w:val="0004443F"/>
    <w:rsid w:val="000478D8"/>
    <w:rsid w:val="000705AB"/>
    <w:rsid w:val="000717F9"/>
    <w:rsid w:val="00075B18"/>
    <w:rsid w:val="0008740C"/>
    <w:rsid w:val="000A6035"/>
    <w:rsid w:val="000B2D1D"/>
    <w:rsid w:val="000E10AA"/>
    <w:rsid w:val="0013490C"/>
    <w:rsid w:val="00135813"/>
    <w:rsid w:val="0013763D"/>
    <w:rsid w:val="001378E3"/>
    <w:rsid w:val="0019120D"/>
    <w:rsid w:val="001B259D"/>
    <w:rsid w:val="001F0506"/>
    <w:rsid w:val="001F2CEC"/>
    <w:rsid w:val="00200C62"/>
    <w:rsid w:val="00251CAA"/>
    <w:rsid w:val="002757D7"/>
    <w:rsid w:val="00294276"/>
    <w:rsid w:val="002B58CE"/>
    <w:rsid w:val="002B70C5"/>
    <w:rsid w:val="002D3F4B"/>
    <w:rsid w:val="002D687C"/>
    <w:rsid w:val="002E6722"/>
    <w:rsid w:val="0031787E"/>
    <w:rsid w:val="00352F9E"/>
    <w:rsid w:val="003749F8"/>
    <w:rsid w:val="00393A68"/>
    <w:rsid w:val="003F02C5"/>
    <w:rsid w:val="003F1377"/>
    <w:rsid w:val="003F73F4"/>
    <w:rsid w:val="00423C1C"/>
    <w:rsid w:val="00425C93"/>
    <w:rsid w:val="0047353B"/>
    <w:rsid w:val="00487BF3"/>
    <w:rsid w:val="004F1C2C"/>
    <w:rsid w:val="004F376A"/>
    <w:rsid w:val="004F442B"/>
    <w:rsid w:val="005003B4"/>
    <w:rsid w:val="00502354"/>
    <w:rsid w:val="00503560"/>
    <w:rsid w:val="00514869"/>
    <w:rsid w:val="0054438C"/>
    <w:rsid w:val="00583213"/>
    <w:rsid w:val="00591129"/>
    <w:rsid w:val="005A6F74"/>
    <w:rsid w:val="005B67B5"/>
    <w:rsid w:val="005D53D5"/>
    <w:rsid w:val="005F6438"/>
    <w:rsid w:val="00624A58"/>
    <w:rsid w:val="006633E6"/>
    <w:rsid w:val="00665D3F"/>
    <w:rsid w:val="006849F1"/>
    <w:rsid w:val="006B11C5"/>
    <w:rsid w:val="006B18F4"/>
    <w:rsid w:val="006E2D7F"/>
    <w:rsid w:val="00723FAE"/>
    <w:rsid w:val="00735A77"/>
    <w:rsid w:val="007668B9"/>
    <w:rsid w:val="007A03B0"/>
    <w:rsid w:val="008051EB"/>
    <w:rsid w:val="0081086D"/>
    <w:rsid w:val="0082012C"/>
    <w:rsid w:val="008226AD"/>
    <w:rsid w:val="0083298C"/>
    <w:rsid w:val="00834CE7"/>
    <w:rsid w:val="00851560"/>
    <w:rsid w:val="0088348B"/>
    <w:rsid w:val="00897CFC"/>
    <w:rsid w:val="008A2F4A"/>
    <w:rsid w:val="008A4E15"/>
    <w:rsid w:val="008D151F"/>
    <w:rsid w:val="008D5DDA"/>
    <w:rsid w:val="009077A9"/>
    <w:rsid w:val="00930FC7"/>
    <w:rsid w:val="00987CE2"/>
    <w:rsid w:val="009B337D"/>
    <w:rsid w:val="009C2E24"/>
    <w:rsid w:val="009E76E8"/>
    <w:rsid w:val="00A90B1B"/>
    <w:rsid w:val="00AD6128"/>
    <w:rsid w:val="00AE2D60"/>
    <w:rsid w:val="00B050DA"/>
    <w:rsid w:val="00B05CCB"/>
    <w:rsid w:val="00B3119A"/>
    <w:rsid w:val="00B32781"/>
    <w:rsid w:val="00B406F9"/>
    <w:rsid w:val="00B91557"/>
    <w:rsid w:val="00BB04B4"/>
    <w:rsid w:val="00BD2A44"/>
    <w:rsid w:val="00BD6C01"/>
    <w:rsid w:val="00C15EDA"/>
    <w:rsid w:val="00C30928"/>
    <w:rsid w:val="00C3512C"/>
    <w:rsid w:val="00C85A3C"/>
    <w:rsid w:val="00CB19D6"/>
    <w:rsid w:val="00D2526A"/>
    <w:rsid w:val="00D40B69"/>
    <w:rsid w:val="00D43B19"/>
    <w:rsid w:val="00D56804"/>
    <w:rsid w:val="00D84B36"/>
    <w:rsid w:val="00D870BB"/>
    <w:rsid w:val="00DC683D"/>
    <w:rsid w:val="00DF5ACC"/>
    <w:rsid w:val="00E35617"/>
    <w:rsid w:val="00E5615E"/>
    <w:rsid w:val="00EA2A83"/>
    <w:rsid w:val="00EB16EB"/>
    <w:rsid w:val="00EC2C27"/>
    <w:rsid w:val="00ED0D8D"/>
    <w:rsid w:val="00EE67D8"/>
    <w:rsid w:val="00EF701D"/>
    <w:rsid w:val="00F2229A"/>
    <w:rsid w:val="00F443B7"/>
    <w:rsid w:val="00F94C4C"/>
    <w:rsid w:val="00FB45FB"/>
    <w:rsid w:val="00FC1B80"/>
    <w:rsid w:val="00FF1D8D"/>
    <w:rsid w:val="00FF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1C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1C2C"/>
    <w:rPr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er"/>
    <w:basedOn w:val="a0"/>
    <w:semiHidden/>
    <w:unhideWhenUsed/>
    <w:rsid w:val="004F1C2C"/>
    <w:rPr>
      <w:vertAlign w:val="superscript"/>
    </w:rPr>
  </w:style>
  <w:style w:type="character" w:styleId="a6">
    <w:name w:val="Hyperlink"/>
    <w:basedOn w:val="a0"/>
    <w:uiPriority w:val="99"/>
    <w:unhideWhenUsed/>
    <w:rsid w:val="005003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1CAA"/>
    <w:pPr>
      <w:ind w:left="720"/>
      <w:contextualSpacing/>
    </w:pPr>
  </w:style>
  <w:style w:type="paragraph" w:customStyle="1" w:styleId="justify">
    <w:name w:val="justify"/>
    <w:basedOn w:val="a"/>
    <w:rsid w:val="004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Normal (Web)"/>
    <w:basedOn w:val="a"/>
    <w:uiPriority w:val="99"/>
    <w:unhideWhenUsed/>
    <w:rsid w:val="004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9">
    <w:name w:val="FollowedHyperlink"/>
    <w:basedOn w:val="a0"/>
    <w:uiPriority w:val="99"/>
    <w:semiHidden/>
    <w:unhideWhenUsed/>
    <w:rsid w:val="00487BF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9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4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443F"/>
  </w:style>
  <w:style w:type="paragraph" w:styleId="ad">
    <w:name w:val="footer"/>
    <w:basedOn w:val="a"/>
    <w:link w:val="ae"/>
    <w:uiPriority w:val="99"/>
    <w:unhideWhenUsed/>
    <w:rsid w:val="0004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443F"/>
  </w:style>
  <w:style w:type="paragraph" w:styleId="af">
    <w:name w:val="Balloon Text"/>
    <w:basedOn w:val="a"/>
    <w:link w:val="af0"/>
    <w:uiPriority w:val="99"/>
    <w:semiHidden/>
    <w:unhideWhenUsed/>
    <w:rsid w:val="0013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490C"/>
    <w:rPr>
      <w:rFonts w:ascii="Tahoma" w:hAnsi="Tahoma" w:cs="Tahoma"/>
      <w:sz w:val="16"/>
      <w:szCs w:val="16"/>
    </w:rPr>
  </w:style>
  <w:style w:type="paragraph" w:customStyle="1" w:styleId="FootnoteReferences">
    <w:name w:val="Footnote References"/>
    <w:basedOn w:val="a3"/>
    <w:link w:val="FootnoteReferencesChar"/>
    <w:rsid w:val="002B70C5"/>
    <w:pPr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noteReferencesChar">
    <w:name w:val="Footnote References Char"/>
    <w:basedOn w:val="a0"/>
    <w:link w:val="FootnoteReferences"/>
    <w:rsid w:val="002B70C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1">
    <w:name w:val="annotation reference"/>
    <w:basedOn w:val="a0"/>
    <w:uiPriority w:val="99"/>
    <w:semiHidden/>
    <w:unhideWhenUsed/>
    <w:rsid w:val="00B05C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05C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05CC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5C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5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F1C2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1C2C"/>
    <w:rPr>
      <w:sz w:val="20"/>
      <w:szCs w:val="20"/>
    </w:rPr>
  </w:style>
  <w:style w:type="character" w:styleId="Funotenzeichen">
    <w:name w:val="footnote reference"/>
    <w:aliases w:val="Footnote Reference Number,Footnote Reference_LVL6,Footnote Reference_LVL61,Footnote Reference_LVL62,Footnote Reference_LVL63,Footnote Reference_LVL64,Footnote symbol,Voetnootverwijzing,Times 10 Point,Exposant 3 Point,note TESI,number"/>
    <w:basedOn w:val="Absatz-Standardschriftart"/>
    <w:semiHidden/>
    <w:unhideWhenUsed/>
    <w:rsid w:val="004F1C2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003B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1CAA"/>
    <w:pPr>
      <w:ind w:left="720"/>
      <w:contextualSpacing/>
    </w:pPr>
  </w:style>
  <w:style w:type="paragraph" w:customStyle="1" w:styleId="justify">
    <w:name w:val="justify"/>
    <w:basedOn w:val="Standard"/>
    <w:rsid w:val="004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Standard"/>
    <w:uiPriority w:val="99"/>
    <w:unhideWhenUsed/>
    <w:rsid w:val="004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7BF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4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43F"/>
  </w:style>
  <w:style w:type="paragraph" w:styleId="Fuzeile">
    <w:name w:val="footer"/>
    <w:basedOn w:val="Standard"/>
    <w:link w:val="FuzeileZchn"/>
    <w:uiPriority w:val="99"/>
    <w:unhideWhenUsed/>
    <w:rsid w:val="0004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4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90C"/>
    <w:rPr>
      <w:rFonts w:ascii="Tahoma" w:hAnsi="Tahoma" w:cs="Tahoma"/>
      <w:sz w:val="16"/>
      <w:szCs w:val="16"/>
    </w:rPr>
  </w:style>
  <w:style w:type="paragraph" w:customStyle="1" w:styleId="FootnoteReferences">
    <w:name w:val="Footnote References"/>
    <w:basedOn w:val="Funotentext"/>
    <w:link w:val="FootnoteReferencesChar"/>
    <w:rsid w:val="002B70C5"/>
    <w:pPr>
      <w:tabs>
        <w:tab w:val="left" w:pos="360"/>
      </w:tabs>
      <w:ind w:left="360" w:hanging="360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noteReferencesChar">
    <w:name w:val="Footnote References Char"/>
    <w:basedOn w:val="Absatz-Standardschriftart"/>
    <w:link w:val="FootnoteReferences"/>
    <w:rsid w:val="002B70C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5C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5C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5C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5C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5C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acea.ec.europa.eu/europe-for-citizens/news/europe-for-citizens-programme-participating-countries_en" TargetMode="External"/><Relationship Id="rId1" Type="http://schemas.openxmlformats.org/officeDocument/2006/relationships/hyperlink" Target="http://www.danube-capacitycooperation.eu/pages/civil-societ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CE6DA9.10842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E79A-A570-42E9-9583-DD44DC4B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Mirtl</dc:creator>
  <cp:lastModifiedBy>User</cp:lastModifiedBy>
  <cp:revision>2</cp:revision>
  <cp:lastPrinted>2015-02-18T10:00:00Z</cp:lastPrinted>
  <dcterms:created xsi:type="dcterms:W3CDTF">2019-09-25T09:40:00Z</dcterms:created>
  <dcterms:modified xsi:type="dcterms:W3CDTF">2019-09-25T09:40:00Z</dcterms:modified>
</cp:coreProperties>
</file>